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AA367">
      <w:pPr>
        <w:jc w:val="center"/>
        <w:rPr>
          <w:rFonts w:hint="default" w:ascii="Times New Roman" w:hAnsi="Times New Roman" w:cs="Times New Roman"/>
          <w:sz w:val="30"/>
        </w:rPr>
      </w:pPr>
    </w:p>
    <w:p w14:paraId="233B5088">
      <w:pPr>
        <w:jc w:val="center"/>
        <w:rPr>
          <w:rFonts w:hint="default" w:ascii="Times New Roman" w:hAnsi="Times New Roman" w:cs="Times New Roman"/>
          <w:b/>
          <w:sz w:val="36"/>
        </w:rPr>
      </w:pPr>
    </w:p>
    <w:p w14:paraId="358D280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default" w:ascii="Times New Roman" w:hAnsi="Times New Roman" w:eastAsia="黑体" w:cs="Times New Roman"/>
          <w:b/>
          <w:bCs/>
          <w:sz w:val="44"/>
          <w:szCs w:val="44"/>
        </w:rPr>
      </w:pPr>
      <w:bookmarkStart w:id="0" w:name="_Toc22823"/>
      <w:r>
        <w:rPr>
          <w:rFonts w:hint="default" w:ascii="Times New Roman" w:hAnsi="Times New Roman" w:eastAsia="黑体" w:cs="Times New Roman"/>
          <w:b/>
          <w:bCs/>
          <w:sz w:val="44"/>
          <w:szCs w:val="44"/>
        </w:rPr>
        <w:t>中国港口协会团体标准</w:t>
      </w:r>
      <w:bookmarkEnd w:id="0"/>
    </w:p>
    <w:p w14:paraId="03457E59">
      <w:pPr>
        <w:pStyle w:val="43"/>
        <w:keepNext w:val="0"/>
        <w:keepLines w:val="0"/>
        <w:pageBreakBefore w:val="0"/>
        <w:framePr w:w="0" w:hRule="auto" w:wrap="auto" w:vAnchor="margin" w:hAnchor="text" w:xAlign="left" w:yAlign="inline"/>
        <w:widowControl w:val="0"/>
        <w:kinsoku/>
        <w:wordWrap/>
        <w:overflowPunct/>
        <w:topLinePunct w:val="0"/>
        <w:autoSpaceDE/>
        <w:autoSpaceDN/>
        <w:bidi w:val="0"/>
        <w:adjustRightInd w:val="0"/>
        <w:snapToGrid w:val="0"/>
        <w:spacing w:line="360" w:lineRule="auto"/>
        <w:textAlignment w:val="auto"/>
        <w:outlineLvl w:val="9"/>
        <w:rPr>
          <w:rFonts w:hint="default" w:ascii="Times New Roman" w:hAnsi="Times New Roman" w:cs="Times New Roman"/>
          <w:b/>
          <w:bCs/>
          <w:sz w:val="44"/>
          <w:szCs w:val="44"/>
        </w:rPr>
      </w:pPr>
      <w:r>
        <w:rPr>
          <w:rFonts w:hint="default" w:ascii="Times New Roman" w:hAnsi="Times New Roman" w:cs="Times New Roman"/>
          <w:b/>
          <w:bCs/>
          <w:sz w:val="44"/>
          <w:szCs w:val="44"/>
        </w:rPr>
        <w:t>集装箱码头自动驾驶车辆作业管控数据交互技术要求</w:t>
      </w:r>
    </w:p>
    <w:p w14:paraId="1C0CBBB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黑体" w:cs="Times New Roman"/>
          <w:b/>
          <w:bCs/>
          <w:sz w:val="44"/>
          <w:szCs w:val="44"/>
        </w:rPr>
      </w:pPr>
      <w:r>
        <w:rPr>
          <w:rFonts w:hint="default" w:ascii="Times New Roman" w:hAnsi="Times New Roman" w:eastAsia="黑体" w:cs="Times New Roman"/>
          <w:b/>
          <w:bCs/>
          <w:sz w:val="44"/>
          <w:szCs w:val="44"/>
        </w:rPr>
        <w:t>（</w:t>
      </w:r>
      <w:r>
        <w:rPr>
          <w:rFonts w:hint="default" w:ascii="Times New Roman" w:hAnsi="Times New Roman" w:eastAsia="黑体" w:cs="Times New Roman"/>
          <w:b/>
          <w:bCs/>
          <w:sz w:val="44"/>
          <w:szCs w:val="44"/>
          <w:lang w:val="en-US" w:eastAsia="zh-CN"/>
        </w:rPr>
        <w:t>征求意见</w:t>
      </w:r>
      <w:r>
        <w:rPr>
          <w:rFonts w:hint="default" w:ascii="Times New Roman" w:hAnsi="Times New Roman" w:eastAsia="黑体" w:cs="Times New Roman"/>
          <w:b/>
          <w:bCs/>
          <w:sz w:val="44"/>
          <w:szCs w:val="44"/>
        </w:rPr>
        <w:t>稿）</w:t>
      </w:r>
    </w:p>
    <w:p w14:paraId="2F8AAC8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黑体" w:cs="Times New Roman"/>
          <w:b/>
          <w:bCs/>
          <w:sz w:val="44"/>
          <w:szCs w:val="44"/>
        </w:rPr>
      </w:pPr>
      <w:r>
        <w:rPr>
          <w:rFonts w:hint="default" w:ascii="Times New Roman" w:hAnsi="Times New Roman" w:eastAsia="黑体" w:cs="Times New Roman"/>
          <w:b/>
          <w:bCs/>
          <w:sz w:val="44"/>
          <w:szCs w:val="44"/>
        </w:rPr>
        <w:t>编制说明</w:t>
      </w:r>
    </w:p>
    <w:p w14:paraId="7609C5B4">
      <w:pPr>
        <w:jc w:val="center"/>
        <w:rPr>
          <w:rFonts w:hint="default" w:ascii="Times New Roman" w:hAnsi="Times New Roman" w:cs="Times New Roman"/>
          <w:sz w:val="28"/>
          <w:szCs w:val="28"/>
        </w:rPr>
      </w:pPr>
    </w:p>
    <w:p w14:paraId="45D5C550">
      <w:pPr>
        <w:jc w:val="center"/>
        <w:rPr>
          <w:rFonts w:hint="default" w:ascii="Times New Roman" w:hAnsi="Times New Roman" w:cs="Times New Roman"/>
          <w:b/>
          <w:bCs/>
          <w:sz w:val="36"/>
        </w:rPr>
      </w:pPr>
    </w:p>
    <w:p w14:paraId="34FF5EE9">
      <w:pPr>
        <w:jc w:val="center"/>
        <w:rPr>
          <w:rFonts w:hint="default" w:ascii="Times New Roman" w:hAnsi="Times New Roman" w:cs="Times New Roman"/>
          <w:b/>
          <w:bCs/>
          <w:sz w:val="36"/>
        </w:rPr>
      </w:pPr>
      <w:bookmarkStart w:id="34" w:name="_GoBack"/>
      <w:bookmarkEnd w:id="34"/>
    </w:p>
    <w:p w14:paraId="43E8EA1C">
      <w:pPr>
        <w:jc w:val="center"/>
        <w:rPr>
          <w:rFonts w:hint="default" w:ascii="Times New Roman" w:hAnsi="Times New Roman" w:cs="Times New Roman"/>
          <w:b/>
          <w:bCs/>
          <w:sz w:val="36"/>
        </w:rPr>
      </w:pPr>
    </w:p>
    <w:p w14:paraId="596A095D">
      <w:pPr>
        <w:jc w:val="center"/>
        <w:rPr>
          <w:rFonts w:hint="default" w:ascii="Times New Roman" w:hAnsi="Times New Roman" w:cs="Times New Roman"/>
          <w:b/>
          <w:bCs/>
          <w:sz w:val="36"/>
        </w:rPr>
      </w:pPr>
    </w:p>
    <w:p w14:paraId="21A952FB">
      <w:pPr>
        <w:pStyle w:val="2"/>
        <w:rPr>
          <w:rFonts w:hint="default"/>
        </w:rPr>
      </w:pPr>
    </w:p>
    <w:p w14:paraId="53F622C7">
      <w:pPr>
        <w:pStyle w:val="2"/>
        <w:ind w:firstLine="210"/>
        <w:jc w:val="center"/>
        <w:rPr>
          <w:rFonts w:hint="default" w:ascii="Times New Roman" w:hAnsi="Times New Roman" w:cs="Times New Roman"/>
        </w:rPr>
      </w:pPr>
    </w:p>
    <w:p w14:paraId="24A11F03">
      <w:pPr>
        <w:jc w:val="center"/>
        <w:rPr>
          <w:rFonts w:hint="default" w:ascii="Times New Roman" w:hAnsi="Times New Roman" w:cs="Times New Roman"/>
          <w:b/>
          <w:bCs/>
          <w:sz w:val="36"/>
        </w:rPr>
      </w:pPr>
    </w:p>
    <w:p w14:paraId="542F6D16">
      <w:pPr>
        <w:jc w:val="center"/>
        <w:rPr>
          <w:rFonts w:hint="default" w:ascii="Times New Roman" w:hAnsi="Times New Roman" w:cs="Times New Roman"/>
          <w:b/>
          <w:bCs/>
          <w:sz w:val="36"/>
        </w:rPr>
      </w:pPr>
    </w:p>
    <w:p w14:paraId="3A78CB45">
      <w:pPr>
        <w:jc w:val="center"/>
        <w:outlineLvl w:val="9"/>
        <w:rPr>
          <w:rFonts w:hint="default" w:ascii="Times New Roman" w:hAnsi="Times New Roman" w:eastAsia="黑体" w:cs="Times New Roman"/>
          <w:b/>
          <w:bCs/>
          <w:sz w:val="32"/>
          <w:szCs w:val="32"/>
        </w:rPr>
      </w:pPr>
      <w:bookmarkStart w:id="1" w:name="_Toc12871"/>
      <w:r>
        <w:rPr>
          <w:rFonts w:hint="default" w:ascii="Times New Roman" w:hAnsi="Times New Roman" w:eastAsia="黑体" w:cs="Times New Roman"/>
          <w:b/>
          <w:bCs/>
          <w:sz w:val="32"/>
          <w:szCs w:val="32"/>
        </w:rPr>
        <w:t>标准起草组</w:t>
      </w:r>
      <w:bookmarkEnd w:id="1"/>
    </w:p>
    <w:p w14:paraId="471AED95">
      <w:pPr>
        <w:jc w:val="center"/>
        <w:rPr>
          <w:rFonts w:hint="default" w:ascii="Times New Roman" w:hAnsi="Times New Roman" w:cs="Times New Roman"/>
          <w:b/>
          <w:bCs/>
          <w:sz w:val="28"/>
          <w:szCs w:val="28"/>
        </w:rPr>
      </w:pPr>
      <w:r>
        <w:rPr>
          <w:rFonts w:hint="default" w:ascii="Times New Roman" w:hAnsi="Times New Roman" w:eastAsia="黑体" w:cs="Times New Roman"/>
          <w:b/>
          <w:bCs/>
          <w:sz w:val="32"/>
          <w:szCs w:val="32"/>
        </w:rPr>
        <w:t>202</w:t>
      </w:r>
      <w:r>
        <w:rPr>
          <w:rFonts w:hint="default" w:ascii="Times New Roman" w:hAnsi="Times New Roman" w:eastAsia="黑体" w:cs="Times New Roman"/>
          <w:b/>
          <w:bCs/>
          <w:sz w:val="32"/>
          <w:szCs w:val="32"/>
          <w:lang w:val="en-US" w:eastAsia="zh-CN"/>
        </w:rPr>
        <w:t>6</w:t>
      </w:r>
      <w:r>
        <w:rPr>
          <w:rFonts w:hint="default" w:ascii="Times New Roman" w:hAnsi="Times New Roman" w:eastAsia="黑体" w:cs="Times New Roman"/>
          <w:b/>
          <w:bCs/>
          <w:sz w:val="32"/>
          <w:szCs w:val="32"/>
        </w:rPr>
        <w:t>年</w:t>
      </w:r>
      <w:r>
        <w:rPr>
          <w:rFonts w:hint="default" w:ascii="Times New Roman" w:hAnsi="Times New Roman" w:eastAsia="黑体" w:cs="Times New Roman"/>
          <w:b/>
          <w:bCs/>
          <w:sz w:val="32"/>
          <w:szCs w:val="32"/>
          <w:lang w:val="en-US" w:eastAsia="zh-CN"/>
        </w:rPr>
        <w:t>1</w:t>
      </w:r>
      <w:r>
        <w:rPr>
          <w:rFonts w:hint="default" w:ascii="Times New Roman" w:hAnsi="Times New Roman" w:eastAsia="黑体" w:cs="Times New Roman"/>
          <w:b/>
          <w:bCs/>
          <w:sz w:val="32"/>
          <w:szCs w:val="32"/>
        </w:rPr>
        <w:t>月</w:t>
      </w:r>
    </w:p>
    <w:p w14:paraId="6F194CF6">
      <w:pPr>
        <w:spacing w:line="360" w:lineRule="auto"/>
        <w:jc w:val="center"/>
        <w:rPr>
          <w:rFonts w:hint="default" w:ascii="Times New Roman" w:hAnsi="Times New Roman" w:cs="Times New Roman"/>
          <w:b/>
          <w:sz w:val="24"/>
        </w:rPr>
      </w:pPr>
    </w:p>
    <w:p w14:paraId="38AA5F6C">
      <w:pPr>
        <w:pStyle w:val="42"/>
        <w:jc w:val="center"/>
        <w:outlineLvl w:val="9"/>
        <w:rPr>
          <w:rFonts w:hint="default" w:ascii="Times New Roman" w:hAnsi="Times New Roman" w:eastAsia="黑体" w:cs="Times New Roman"/>
          <w:b w:val="0"/>
          <w:color w:val="auto"/>
          <w:sz w:val="32"/>
          <w:szCs w:val="32"/>
        </w:rPr>
      </w:pPr>
      <w:bookmarkStart w:id="2" w:name="_Toc11079"/>
      <w:r>
        <w:rPr>
          <w:rFonts w:hint="default" w:ascii="Times New Roman" w:hAnsi="Times New Roman" w:eastAsia="黑体" w:cs="Times New Roman"/>
          <w:b w:val="0"/>
          <w:color w:val="auto"/>
          <w:sz w:val="32"/>
          <w:szCs w:val="32"/>
          <w:lang w:val="zh-CN"/>
        </w:rPr>
        <w:t>目    录</w:t>
      </w:r>
      <w:bookmarkEnd w:id="2"/>
    </w:p>
    <w:sdt>
      <w:sdtPr>
        <w:rPr>
          <w:rFonts w:hint="default" w:ascii="Times New Roman" w:hAnsi="Times New Roman" w:cs="Times New Roman"/>
        </w:rPr>
        <w:id w:val="147460787"/>
        <w15:color w:val="DBDBDB"/>
        <w:docPartObj>
          <w:docPartGallery w:val="Table of Contents"/>
          <w:docPartUnique/>
        </w:docPartObj>
      </w:sdtPr>
      <w:sdtEndPr>
        <w:rPr>
          <w:rFonts w:hint="default" w:ascii="Times New Roman" w:hAnsi="Times New Roman" w:cs="Times New Roman"/>
        </w:rPr>
      </w:sdtEndPr>
      <w:sdtContent>
        <w:p w14:paraId="7B1B74FE">
          <w:pPr>
            <w:tabs>
              <w:tab w:val="right" w:leader="dot" w:pos="8612"/>
            </w:tabs>
            <w:jc w:val="center"/>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TOC \o "1-1" \h \u </w:instrText>
          </w:r>
          <w:r>
            <w:rPr>
              <w:rFonts w:hint="default" w:ascii="Times New Roman" w:hAnsi="Times New Roman" w:cs="Times New Roman"/>
            </w:rPr>
            <w:fldChar w:fldCharType="separate"/>
          </w:r>
        </w:p>
        <w:p w14:paraId="67642E68">
          <w:pPr>
            <w:pStyle w:val="51"/>
            <w:tabs>
              <w:tab w:val="right" w:leader="dot" w:pos="8612"/>
            </w:tabs>
            <w:spacing w:before="156" w:beforeLines="50" w:line="360" w:lineRule="auto"/>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"_Toc17376" </w:instrText>
          </w:r>
          <w:r>
            <w:rPr>
              <w:rFonts w:hint="default" w:ascii="Times New Roman" w:hAnsi="Times New Roman" w:cs="Times New Roman"/>
              <w:sz w:val="28"/>
              <w:szCs w:val="28"/>
            </w:rPr>
            <w:fldChar w:fldCharType="separate"/>
          </w:r>
          <w:r>
            <w:rPr>
              <w:rFonts w:hint="default" w:ascii="Times New Roman" w:hAnsi="Times New Roman" w:cs="Times New Roman"/>
              <w:kern w:val="2"/>
              <w:sz w:val="28"/>
              <w:szCs w:val="28"/>
            </w:rPr>
            <w:t>一、工作简况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_Toc17376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14:paraId="0955289F">
          <w:pPr>
            <w:pStyle w:val="51"/>
            <w:tabs>
              <w:tab w:val="right" w:leader="dot" w:pos="8612"/>
            </w:tabs>
            <w:spacing w:before="156" w:beforeLines="50" w:line="360" w:lineRule="auto"/>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"_Toc9597" </w:instrText>
          </w:r>
          <w:r>
            <w:rPr>
              <w:rFonts w:hint="default" w:ascii="Times New Roman" w:hAnsi="Times New Roman" w:cs="Times New Roman"/>
              <w:sz w:val="28"/>
              <w:szCs w:val="28"/>
            </w:rPr>
            <w:fldChar w:fldCharType="separate"/>
          </w:r>
          <w:r>
            <w:rPr>
              <w:rFonts w:hint="default" w:ascii="Times New Roman" w:hAnsi="Times New Roman" w:cs="Times New Roman"/>
              <w:kern w:val="2"/>
              <w:sz w:val="28"/>
              <w:szCs w:val="28"/>
            </w:rPr>
            <w:t>二、标准编制原则和确定标准主要内容的依据</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_Toc9597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14:paraId="23041143">
          <w:pPr>
            <w:pStyle w:val="51"/>
            <w:tabs>
              <w:tab w:val="right" w:leader="dot" w:pos="8612"/>
            </w:tabs>
            <w:spacing w:before="156" w:beforeLines="50" w:line="360" w:lineRule="auto"/>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"_Toc7132" </w:instrText>
          </w:r>
          <w:r>
            <w:rPr>
              <w:rFonts w:hint="default" w:ascii="Times New Roman" w:hAnsi="Times New Roman" w:cs="Times New Roman"/>
              <w:sz w:val="28"/>
              <w:szCs w:val="28"/>
            </w:rPr>
            <w:fldChar w:fldCharType="separate"/>
          </w:r>
          <w:r>
            <w:rPr>
              <w:rFonts w:hint="default" w:ascii="Times New Roman" w:hAnsi="Times New Roman" w:cs="Times New Roman"/>
              <w:kern w:val="2"/>
              <w:sz w:val="28"/>
              <w:szCs w:val="28"/>
            </w:rPr>
            <w:t>三、主要试验的分析综述报告、技术经济论证或预期的经济效果</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_Toc7132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14:paraId="6E170556">
          <w:pPr>
            <w:pStyle w:val="51"/>
            <w:tabs>
              <w:tab w:val="right" w:leader="dot" w:pos="8612"/>
            </w:tabs>
            <w:spacing w:before="156" w:beforeLines="50" w:line="360" w:lineRule="auto"/>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"_Toc20173" </w:instrText>
          </w:r>
          <w:r>
            <w:rPr>
              <w:rFonts w:hint="default" w:ascii="Times New Roman" w:hAnsi="Times New Roman" w:cs="Times New Roman"/>
              <w:sz w:val="28"/>
              <w:szCs w:val="28"/>
            </w:rPr>
            <w:fldChar w:fldCharType="separate"/>
          </w:r>
          <w:r>
            <w:rPr>
              <w:rFonts w:hint="default" w:ascii="Times New Roman" w:hAnsi="Times New Roman" w:cs="Times New Roman"/>
              <w:kern w:val="2"/>
              <w:sz w:val="28"/>
              <w:szCs w:val="28"/>
            </w:rPr>
            <w:t>四、采用国际标准和国外先进标准的程度</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_Toc20173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14:paraId="0434B7D2">
          <w:pPr>
            <w:pStyle w:val="51"/>
            <w:tabs>
              <w:tab w:val="right" w:leader="dot" w:pos="8612"/>
            </w:tabs>
            <w:spacing w:before="156" w:beforeLines="50" w:line="360" w:lineRule="auto"/>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"_Toc31937" </w:instrText>
          </w:r>
          <w:r>
            <w:rPr>
              <w:rFonts w:hint="default" w:ascii="Times New Roman" w:hAnsi="Times New Roman" w:cs="Times New Roman"/>
              <w:sz w:val="28"/>
              <w:szCs w:val="28"/>
            </w:rPr>
            <w:fldChar w:fldCharType="separate"/>
          </w:r>
          <w:r>
            <w:rPr>
              <w:rFonts w:hint="default" w:ascii="Times New Roman" w:hAnsi="Times New Roman" w:cs="Times New Roman"/>
              <w:kern w:val="2"/>
              <w:sz w:val="28"/>
              <w:szCs w:val="28"/>
            </w:rPr>
            <w:t>五、与有关的现行法律法规和强制性国家标准的关系</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_Toc31937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14:paraId="757CA543">
          <w:pPr>
            <w:pStyle w:val="51"/>
            <w:tabs>
              <w:tab w:val="right" w:leader="dot" w:pos="8612"/>
            </w:tabs>
            <w:spacing w:before="156" w:beforeLines="50" w:line="360" w:lineRule="auto"/>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"_Toc17342" </w:instrText>
          </w:r>
          <w:r>
            <w:rPr>
              <w:rFonts w:hint="default" w:ascii="Times New Roman" w:hAnsi="Times New Roman" w:cs="Times New Roman"/>
              <w:sz w:val="28"/>
              <w:szCs w:val="28"/>
            </w:rPr>
            <w:fldChar w:fldCharType="separate"/>
          </w:r>
          <w:r>
            <w:rPr>
              <w:rFonts w:hint="default" w:ascii="Times New Roman" w:hAnsi="Times New Roman" w:cs="Times New Roman"/>
              <w:kern w:val="2"/>
              <w:sz w:val="28"/>
              <w:szCs w:val="28"/>
            </w:rPr>
            <w:t>六、重大分歧意见的处理经过和依据</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_Toc17342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14:paraId="49DD0176">
          <w:pPr>
            <w:pStyle w:val="51"/>
            <w:tabs>
              <w:tab w:val="right" w:leader="dot" w:pos="8612"/>
            </w:tabs>
            <w:spacing w:before="156" w:beforeLines="50" w:line="360" w:lineRule="auto"/>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"_Toc19628" </w:instrText>
          </w:r>
          <w:r>
            <w:rPr>
              <w:rFonts w:hint="default" w:ascii="Times New Roman" w:hAnsi="Times New Roman" w:cs="Times New Roman"/>
              <w:sz w:val="28"/>
              <w:szCs w:val="28"/>
            </w:rPr>
            <w:fldChar w:fldCharType="separate"/>
          </w:r>
          <w:r>
            <w:rPr>
              <w:rFonts w:hint="default" w:ascii="Times New Roman" w:hAnsi="Times New Roman" w:cs="Times New Roman"/>
              <w:kern w:val="2"/>
              <w:sz w:val="28"/>
              <w:szCs w:val="28"/>
            </w:rPr>
            <w:t>七、标准过渡期的建议</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_Toc19628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14:paraId="3E8DEB1A">
          <w:pPr>
            <w:pStyle w:val="51"/>
            <w:tabs>
              <w:tab w:val="right" w:leader="dot" w:pos="8612"/>
            </w:tabs>
            <w:spacing w:before="156" w:beforeLines="50" w:line="360" w:lineRule="auto"/>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"_Toc26341" </w:instrText>
          </w:r>
          <w:r>
            <w:rPr>
              <w:rFonts w:hint="default" w:ascii="Times New Roman" w:hAnsi="Times New Roman" w:cs="Times New Roman"/>
              <w:sz w:val="28"/>
              <w:szCs w:val="28"/>
            </w:rPr>
            <w:fldChar w:fldCharType="separate"/>
          </w:r>
          <w:r>
            <w:rPr>
              <w:rFonts w:hint="default" w:ascii="Times New Roman" w:hAnsi="Times New Roman" w:cs="Times New Roman"/>
              <w:kern w:val="2"/>
              <w:sz w:val="28"/>
              <w:szCs w:val="28"/>
            </w:rPr>
            <w:t>八、废止现行有关标准的建议</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_Toc26341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15</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14:paraId="6581191D">
          <w:pPr>
            <w:pStyle w:val="51"/>
            <w:tabs>
              <w:tab w:val="right" w:leader="dot" w:pos="8612"/>
            </w:tabs>
            <w:spacing w:before="156" w:beforeLines="50" w:line="360" w:lineRule="auto"/>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"_Toc19743" </w:instrText>
          </w:r>
          <w:r>
            <w:rPr>
              <w:rFonts w:hint="default" w:ascii="Times New Roman" w:hAnsi="Times New Roman" w:cs="Times New Roman"/>
              <w:sz w:val="28"/>
              <w:szCs w:val="28"/>
            </w:rPr>
            <w:fldChar w:fldCharType="separate"/>
          </w:r>
          <w:r>
            <w:rPr>
              <w:rFonts w:hint="default" w:ascii="Times New Roman" w:hAnsi="Times New Roman" w:cs="Times New Roman"/>
              <w:kern w:val="2"/>
              <w:sz w:val="28"/>
              <w:szCs w:val="28"/>
            </w:rPr>
            <w:t>九、其他应予说明的事项</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_Toc19743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15</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14:paraId="24AD511E">
          <w:pPr>
            <w:rPr>
              <w:rFonts w:hint="default" w:ascii="Times New Roman" w:hAnsi="Times New Roman" w:cs="Times New Roman"/>
            </w:rPr>
          </w:pPr>
          <w:r>
            <w:rPr>
              <w:rFonts w:hint="default" w:ascii="Times New Roman" w:hAnsi="Times New Roman" w:cs="Times New Roman"/>
            </w:rPr>
            <w:fldChar w:fldCharType="end"/>
          </w:r>
        </w:p>
      </w:sdtContent>
    </w:sdt>
    <w:p w14:paraId="280DAEBC">
      <w:pPr>
        <w:spacing w:before="156" w:beforeLines="50" w:line="360" w:lineRule="auto"/>
        <w:jc w:val="left"/>
        <w:rPr>
          <w:rFonts w:hint="default" w:ascii="Times New Roman" w:hAnsi="Times New Roman" w:cs="Times New Roman"/>
          <w:b/>
          <w:sz w:val="24"/>
        </w:rPr>
      </w:pPr>
    </w:p>
    <w:p w14:paraId="2FF53D09">
      <w:pPr>
        <w:spacing w:line="360" w:lineRule="auto"/>
        <w:rPr>
          <w:rFonts w:hint="default" w:ascii="Times New Roman" w:hAnsi="Times New Roman" w:cs="Times New Roman"/>
          <w:b/>
          <w:sz w:val="24"/>
        </w:rPr>
      </w:pPr>
    </w:p>
    <w:p w14:paraId="40552007">
      <w:pPr>
        <w:spacing w:line="360" w:lineRule="auto"/>
        <w:rPr>
          <w:rFonts w:hint="default" w:ascii="Times New Roman" w:hAnsi="Times New Roman" w:cs="Times New Roman"/>
          <w:b/>
          <w:sz w:val="24"/>
        </w:rPr>
        <w:sectPr>
          <w:footerReference r:id="rId3" w:type="even"/>
          <w:pgSz w:w="12240" w:h="15840"/>
          <w:pgMar w:top="1588" w:right="1814" w:bottom="1588" w:left="1814" w:header="720" w:footer="720" w:gutter="0"/>
          <w:pgNumType w:fmt="decimalFullWidth" w:start="0"/>
          <w:cols w:space="720" w:num="1"/>
          <w:docGrid w:type="lines" w:linePitch="312" w:charSpace="0"/>
        </w:sectPr>
      </w:pPr>
    </w:p>
    <w:p w14:paraId="4330920B">
      <w:pPr>
        <w:pStyle w:val="4"/>
        <w:spacing w:before="0" w:after="0" w:line="360" w:lineRule="auto"/>
        <w:ind w:firstLine="562" w:firstLineChars="200"/>
        <w:rPr>
          <w:rFonts w:hint="default" w:ascii="Times New Roman" w:hAnsi="Times New Roman" w:cs="Times New Roman"/>
          <w:b w:val="0"/>
          <w:sz w:val="28"/>
          <w:szCs w:val="28"/>
        </w:rPr>
      </w:pPr>
      <w:bookmarkStart w:id="3" w:name="_Toc17376"/>
      <w:bookmarkStart w:id="4" w:name="_Toc161044370"/>
      <w:r>
        <w:rPr>
          <w:rFonts w:hint="default" w:ascii="Times New Roman" w:hAnsi="Times New Roman" w:cs="Times New Roman"/>
          <w:bCs w:val="0"/>
          <w:kern w:val="2"/>
          <w:sz w:val="28"/>
          <w:szCs w:val="28"/>
        </w:rPr>
        <w:t>一、工作简况</w:t>
      </w:r>
      <w:bookmarkEnd w:id="3"/>
      <w:bookmarkEnd w:id="4"/>
    </w:p>
    <w:p w14:paraId="395F82CB">
      <w:pPr>
        <w:tabs>
          <w:tab w:val="center" w:pos="4306"/>
        </w:tabs>
        <w:spacing w:line="360" w:lineRule="auto"/>
        <w:ind w:firstLine="562" w:firstLineChars="200"/>
        <w:outlineLvl w:val="1"/>
        <w:rPr>
          <w:rFonts w:hint="default" w:ascii="Times New Roman" w:hAnsi="Times New Roman" w:cs="Times New Roman"/>
          <w:b/>
          <w:sz w:val="28"/>
          <w:szCs w:val="28"/>
        </w:rPr>
      </w:pPr>
      <w:r>
        <w:rPr>
          <w:rFonts w:hint="default" w:ascii="Times New Roman" w:hAnsi="Times New Roman" w:cs="Times New Roman"/>
          <w:b/>
          <w:sz w:val="28"/>
          <w:szCs w:val="28"/>
        </w:rPr>
        <w:t>（一）任务来源</w:t>
      </w:r>
    </w:p>
    <w:p w14:paraId="0616A9B9">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根据《2024年度中国港口协会团体标准化计划》（中港协行函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2024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30</w:t>
      </w:r>
      <w:r>
        <w:rPr>
          <w:rFonts w:hint="default" w:ascii="Times New Roman" w:hAnsi="Times New Roman" w:cs="Times New Roman"/>
          <w:sz w:val="28"/>
          <w:szCs w:val="28"/>
        </w:rPr>
        <w:t>号）安排，制定《集装箱码头自动驾驶车辆作业管控数据交互技术要求》，计划编号为</w:t>
      </w:r>
      <w:r>
        <w:rPr>
          <w:rFonts w:hint="default" w:ascii="Times New Roman" w:hAnsi="Times New Roman" w:cs="Times New Roman"/>
          <w:sz w:val="28"/>
          <w:szCs w:val="28"/>
          <w:lang w:val="en-US" w:eastAsia="zh-CN"/>
        </w:rPr>
        <w:t>2024-10</w:t>
      </w:r>
      <w:r>
        <w:rPr>
          <w:rFonts w:hint="default" w:ascii="Times New Roman" w:hAnsi="Times New Roman" w:cs="Times New Roman"/>
          <w:sz w:val="28"/>
          <w:szCs w:val="28"/>
        </w:rPr>
        <w:t>。本文件由中国港口协会提出并归口管理，舟山甬舟集装箱码头有限公司牵头承担编制工作，交通运输部规划研究院</w:t>
      </w:r>
      <w:r>
        <w:rPr>
          <w:rFonts w:hint="default" w:ascii="Times New Roman" w:hAnsi="Times New Roman" w:cs="Times New Roman"/>
          <w:sz w:val="28"/>
          <w:szCs w:val="28"/>
          <w:lang w:eastAsia="zh-CN"/>
        </w:rPr>
        <w:t>、</w:t>
      </w:r>
      <w:r>
        <w:rPr>
          <w:rFonts w:hint="default" w:ascii="Times New Roman" w:hAnsi="Times New Roman" w:cs="Times New Roman"/>
          <w:sz w:val="28"/>
          <w:szCs w:val="28"/>
        </w:rPr>
        <w:t>浙江省海港投资运营集团有限公司、浙江智港通科技有限公司参与标准编制。</w:t>
      </w:r>
    </w:p>
    <w:p w14:paraId="7D12117D">
      <w:pPr>
        <w:spacing w:line="360" w:lineRule="auto"/>
        <w:ind w:firstLine="562" w:firstLineChars="200"/>
        <w:jc w:val="left"/>
        <w:outlineLvl w:val="1"/>
        <w:rPr>
          <w:rFonts w:hint="default" w:ascii="Times New Roman" w:hAnsi="Times New Roman" w:eastAsia="宋体" w:cs="Times New Roman"/>
          <w:b/>
          <w:sz w:val="28"/>
          <w:szCs w:val="28"/>
        </w:rPr>
      </w:pPr>
      <w:r>
        <w:rPr>
          <w:rFonts w:hint="default" w:ascii="Times New Roman" w:hAnsi="Times New Roman" w:eastAsia="宋体" w:cs="Times New Roman"/>
          <w:b/>
          <w:sz w:val="28"/>
          <w:szCs w:val="28"/>
          <w:lang w:eastAsia="zh-CN"/>
        </w:rPr>
        <w:t>（</w:t>
      </w:r>
      <w:r>
        <w:rPr>
          <w:rFonts w:hint="default" w:ascii="Times New Roman" w:hAnsi="Times New Roman" w:eastAsia="宋体" w:cs="Times New Roman"/>
          <w:b/>
          <w:sz w:val="28"/>
          <w:szCs w:val="28"/>
          <w:lang w:val="en-US" w:eastAsia="zh-CN"/>
        </w:rPr>
        <w:t>二</w:t>
      </w:r>
      <w:r>
        <w:rPr>
          <w:rFonts w:hint="default" w:ascii="Times New Roman" w:hAnsi="Times New Roman" w:eastAsia="宋体" w:cs="Times New Roman"/>
          <w:b/>
          <w:sz w:val="28"/>
          <w:szCs w:val="28"/>
          <w:lang w:eastAsia="zh-CN"/>
        </w:rPr>
        <w:t>）</w:t>
      </w:r>
      <w:r>
        <w:rPr>
          <w:rFonts w:hint="default" w:ascii="Times New Roman" w:hAnsi="Times New Roman" w:eastAsia="宋体" w:cs="Times New Roman"/>
          <w:b/>
          <w:sz w:val="28"/>
          <w:szCs w:val="28"/>
        </w:rPr>
        <w:t>背景、目的和意义</w:t>
      </w:r>
    </w:p>
    <w:p w14:paraId="6A1BD56A">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港口是综合交通运输枢纽，也是经济社会发展的战略资源和重要支撑。以习近平同志为核心的党中央高度重视港口发展。党的十八大以来，习近平总书记多次亲临港口视察，作出了“做到四个‘一流’，为‘一带一路’建设服务好”“要志在万里，努力打造世界一流的智慧港口、绿色港口”等系列重要指示。2019年，交通运输部等九部委联合印发《关于建设世界一流港口的指导意见》，要求加快智慧港口建设。2023年，《交通运输部关于加快智慧港口和智慧航道建设的意见》就加快智慧港口建设提出了指导意见。</w:t>
      </w:r>
    </w:p>
    <w:p w14:paraId="47E0AC22">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在新一代信息技术的强力支撑下，国内外各大港口掀起了自动化集装箱码头等智慧港口的建设热潮，目前，我国自动化集装箱码头已建和在建的数量位居世界首位，其中，已建成的自动化集装箱码头18座，在建包括改造的集装箱码头27座。自动化集装箱码头较传统集装箱码头在作业人员、效率、节能减排方面具备较大优势。例如天津港通过全流程自动化改造，人工成本减少60%以上，整体作业效率提升近20%，单箱能耗下降20%；日照港全球首个顺岸开放式全自动化码头投产后，人力成本降低86%（从传统码头需200多人缩减至30人），船时效率提升26%以上，桥吊单机效率较传统人工提升15%，外集卡在港停时压缩25%；上海洋山港通过全自动配载系统使船舶配载时间从4小时缩短至15分钟，人工成本下降70%；青岛港自动化码头以60.6自然箱/小时的单机效率领跑全球，较传统人工码头（约25-30自然箱/小时）实现翻倍提升。自动化码头的另一大优势体现在节能减排方面，氢能、风能等绿电供能技术在这些码头的应用使其碳排放降到最低，例如：天津港北疆港区C段智能化集装箱码头100%使用电能，电能100%风电和光伏发电，装卸作业全流程实现零碳排放；深圳妈湾智慧港碳排放量也较传统作业模式减少90%。据统计，目前我国有380个万吨级集装箱泊位，以上泊位均存在自动化集装箱码头改造的需求，需求量较大。</w:t>
      </w:r>
    </w:p>
    <w:p w14:paraId="1E70E518">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自动化集装箱码头的区别主要集中在码头的装卸工艺、布局以及水平运输三大方面。平面运输主要有封闭区域内AGV（自动导引运输车）/IGV（智慧型引导运输车）作业模式、自动驾驶车辆与人工集卡完全隔离的作业模式、自动驾驶车辆与人工集卡混行的作业模式三种。</w:t>
      </w:r>
    </w:p>
    <w:p w14:paraId="11A05EDE">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近年来，我国高度重视自动化集装箱码头标准化建设，在国家、行业和团体层面针对设备远程操控、自动导引车、自动化起重机械等重点领域制定了指导性较强的标准，如《自动化集装箱码头设计规范》（JTS/T 174—2019）、《自动化集装箱码头建设指南》（JTS/T 199—2021）、《集装箱自动导引车》（JT /T1377—2021）等，为自动化集装箱码头的建设、设计和运行提供了详细的指导和规范。现有标准大多都提出了集装箱码头智能化建设的总体框架，但标准供给范围还不够全面，未明确标准重点编制方向，如针对自动驾驶车辆作业任务管控、网络环境、数据交互等方面仍缺少标准支撑。其次，已有标准缺乏体系性和关联性，很大程度上限制了标准</w:t>
      </w:r>
      <w:r>
        <w:rPr>
          <w:rFonts w:hint="eastAsia" w:ascii="Times New Roman" w:hAnsi="Times New Roman" w:cs="Times New Roman"/>
          <w:sz w:val="28"/>
          <w:szCs w:val="28"/>
          <w:lang w:eastAsia="zh-CN"/>
        </w:rPr>
        <w:t>对</w:t>
      </w:r>
      <w:r>
        <w:rPr>
          <w:rFonts w:hint="default" w:ascii="Times New Roman" w:hAnsi="Times New Roman" w:eastAsia="宋体" w:cs="Times New Roman"/>
          <w:sz w:val="28"/>
          <w:szCs w:val="28"/>
        </w:rPr>
        <w:t>实际建设运营的指导作用。</w:t>
      </w:r>
    </w:p>
    <w:p w14:paraId="4A36CB0B">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随着我国智慧港口加快建设，从码头发展的实际需求和标准的体系性和关联性考虑，有必要制定《集装箱码头自动驾驶车辆作业任务管控数据交互技术要求》，明确自动驾驶车辆与码头生产作业系统、岸桥管理系统、场桥管理系统、锁站管理系统、换电管理系统等数据交互的技术要求，提出标准化数据交互接口技术路线，促进自动化集装箱码头设备互联互通、系统开放度，提升生产作业调度便捷性、码头作业效率、减少生产经营成本，有助于促进自动化集装箱码头高质量发展，提升国际竞争力，有力支撑世界一流港口建设。</w:t>
      </w:r>
    </w:p>
    <w:p w14:paraId="2E79DBE0">
      <w:pPr>
        <w:spacing w:line="360" w:lineRule="auto"/>
        <w:ind w:firstLine="562" w:firstLineChars="200"/>
        <w:jc w:val="left"/>
        <w:outlineLvl w:val="1"/>
        <w:rPr>
          <w:rFonts w:hint="default" w:ascii="Times New Roman" w:hAnsi="Times New Roman" w:cs="Times New Roman"/>
          <w:b/>
          <w:sz w:val="28"/>
          <w:szCs w:val="28"/>
        </w:rPr>
      </w:pPr>
      <w:r>
        <w:rPr>
          <w:rFonts w:hint="default" w:ascii="Times New Roman" w:hAnsi="Times New Roman" w:cs="Times New Roman"/>
          <w:b/>
          <w:sz w:val="28"/>
          <w:szCs w:val="28"/>
        </w:rPr>
        <w:t>（</w:t>
      </w:r>
      <w:r>
        <w:rPr>
          <w:rFonts w:hint="default" w:ascii="Times New Roman" w:hAnsi="Times New Roman" w:cs="Times New Roman"/>
          <w:b/>
          <w:sz w:val="28"/>
          <w:szCs w:val="28"/>
          <w:lang w:val="en-US" w:eastAsia="zh-CN"/>
        </w:rPr>
        <w:t>三</w:t>
      </w:r>
      <w:r>
        <w:rPr>
          <w:rFonts w:hint="default" w:ascii="Times New Roman" w:hAnsi="Times New Roman" w:cs="Times New Roman"/>
          <w:b/>
          <w:sz w:val="28"/>
          <w:szCs w:val="28"/>
        </w:rPr>
        <w:t>）主要工作过程</w:t>
      </w:r>
    </w:p>
    <w:p w14:paraId="13F4E6A9">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舟山甬舟集装箱码头有限公司</w:t>
      </w:r>
      <w:r>
        <w:rPr>
          <w:rFonts w:hint="default" w:ascii="Times New Roman" w:hAnsi="Times New Roman" w:cs="Times New Roman"/>
          <w:sz w:val="28"/>
          <w:szCs w:val="28"/>
          <w:lang w:eastAsia="zh-CN"/>
        </w:rPr>
        <w:t>、</w:t>
      </w:r>
      <w:r>
        <w:rPr>
          <w:rFonts w:hint="default" w:ascii="Times New Roman" w:hAnsi="Times New Roman" w:cs="Times New Roman"/>
          <w:sz w:val="28"/>
          <w:szCs w:val="28"/>
        </w:rPr>
        <w:t>交通运输部规划研究院</w:t>
      </w:r>
      <w:r>
        <w:rPr>
          <w:rFonts w:hint="default" w:ascii="Times New Roman" w:hAnsi="Times New Roman" w:cs="Times New Roman"/>
          <w:sz w:val="28"/>
          <w:szCs w:val="28"/>
          <w:lang w:val="en-US" w:eastAsia="zh-CN"/>
        </w:rPr>
        <w:t>牵头</w:t>
      </w:r>
      <w:r>
        <w:rPr>
          <w:rFonts w:hint="default" w:ascii="Times New Roman" w:hAnsi="Times New Roman" w:cs="Times New Roman"/>
          <w:sz w:val="28"/>
          <w:szCs w:val="28"/>
        </w:rPr>
        <w:t>成立标准起草组，起草组经过详细调研和验证分析，紧密结合我国</w:t>
      </w:r>
      <w:r>
        <w:rPr>
          <w:rFonts w:hint="default" w:ascii="Times New Roman" w:hAnsi="Times New Roman" w:cs="Times New Roman"/>
          <w:sz w:val="28"/>
          <w:szCs w:val="28"/>
          <w:lang w:val="en-US" w:eastAsia="zh-CN"/>
        </w:rPr>
        <w:t>自动化码头发展</w:t>
      </w:r>
      <w:r>
        <w:rPr>
          <w:rFonts w:hint="default" w:ascii="Times New Roman" w:hAnsi="Times New Roman" w:cs="Times New Roman"/>
          <w:sz w:val="28"/>
          <w:szCs w:val="28"/>
        </w:rPr>
        <w:t>现状</w:t>
      </w: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码头自动驾驶车辆技术发展和应用情况等</w:t>
      </w:r>
      <w:r>
        <w:rPr>
          <w:rFonts w:hint="default" w:ascii="Times New Roman" w:hAnsi="Times New Roman" w:cs="Times New Roman"/>
          <w:sz w:val="28"/>
          <w:szCs w:val="28"/>
        </w:rPr>
        <w:t>，多次组织</w:t>
      </w:r>
      <w:r>
        <w:rPr>
          <w:rFonts w:hint="default" w:ascii="Times New Roman" w:hAnsi="Times New Roman" w:cs="Times New Roman"/>
          <w:sz w:val="28"/>
          <w:szCs w:val="28"/>
          <w:lang w:val="en-US" w:eastAsia="zh-CN"/>
        </w:rPr>
        <w:t>智慧港口、自动驾驶</w:t>
      </w:r>
      <w:r>
        <w:rPr>
          <w:rFonts w:hint="default" w:ascii="Times New Roman" w:hAnsi="Times New Roman" w:cs="Times New Roman"/>
          <w:sz w:val="28"/>
          <w:szCs w:val="28"/>
        </w:rPr>
        <w:t>领域的专家、</w:t>
      </w:r>
      <w:r>
        <w:rPr>
          <w:rFonts w:hint="default" w:ascii="Times New Roman" w:hAnsi="Times New Roman" w:cs="Times New Roman"/>
          <w:sz w:val="28"/>
          <w:szCs w:val="28"/>
          <w:lang w:val="en-US" w:eastAsia="zh-CN"/>
        </w:rPr>
        <w:t>港口</w:t>
      </w:r>
      <w:r>
        <w:rPr>
          <w:rFonts w:hint="default" w:ascii="Times New Roman" w:hAnsi="Times New Roman" w:cs="Times New Roman"/>
          <w:sz w:val="28"/>
          <w:szCs w:val="28"/>
        </w:rPr>
        <w:t>企业进行研讨、交流和沟通，编制了《集装箱码头自动驾驶车辆作业管控数据交互技术要求》。</w:t>
      </w:r>
    </w:p>
    <w:p w14:paraId="3541A368">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起草单位主要工作过程如下：</w:t>
      </w:r>
    </w:p>
    <w:p w14:paraId="1C4B87D6">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本项目主要工作过程如下：</w:t>
      </w:r>
    </w:p>
    <w:p w14:paraId="60DAFAA4">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2024年5月—2024年8月，开展中国港口协会团体标准《集装箱码头自动驾驶车辆作业管控数据交互技术要求》前期工作，完成了项目申报文件编写和申报立项工作。</w:t>
      </w:r>
    </w:p>
    <w:p w14:paraId="112FDDAD">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2024年9月，根据《2024年度中国港口协会团体标准化计划》（中港协行函〔2024〕30 号），标准正式立项，同月正式成立标准起草组。</w:t>
      </w:r>
    </w:p>
    <w:p w14:paraId="4C4D2EFF">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2024年10月，标准起草组首先编写了总体实施计划，随后落实了参与单位、人员、明确了分工。</w:t>
      </w:r>
    </w:p>
    <w:p w14:paraId="4B45EE84">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2024年11月—2025年</w:t>
      </w:r>
      <w:r>
        <w:rPr>
          <w:rFonts w:hint="default" w:ascii="Times New Roman" w:hAnsi="Times New Roman" w:cs="Times New Roman"/>
          <w:sz w:val="28"/>
          <w:szCs w:val="28"/>
          <w:lang w:val="en-US" w:eastAsia="zh-CN"/>
        </w:rPr>
        <w:t>5</w:t>
      </w:r>
      <w:r>
        <w:rPr>
          <w:rFonts w:hint="default" w:ascii="Times New Roman" w:hAnsi="Times New Roman" w:cs="Times New Roman"/>
          <w:sz w:val="28"/>
          <w:szCs w:val="28"/>
        </w:rPr>
        <w:t>月，标准起草组完成工作大纲编写、审查、修改。</w:t>
      </w:r>
    </w:p>
    <w:p w14:paraId="72FCE58F">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2025年</w:t>
      </w:r>
      <w:r>
        <w:rPr>
          <w:rFonts w:hint="default" w:ascii="Times New Roman" w:hAnsi="Times New Roman" w:cs="Times New Roman"/>
          <w:sz w:val="28"/>
          <w:szCs w:val="28"/>
          <w:lang w:val="en-US" w:eastAsia="zh-CN"/>
        </w:rPr>
        <w:t>6</w:t>
      </w:r>
      <w:r>
        <w:rPr>
          <w:rFonts w:hint="default" w:ascii="Times New Roman" w:hAnsi="Times New Roman" w:cs="Times New Roman"/>
          <w:sz w:val="28"/>
          <w:szCs w:val="28"/>
        </w:rPr>
        <w:t>月—2025年</w:t>
      </w:r>
      <w:r>
        <w:rPr>
          <w:rFonts w:hint="default" w:ascii="Times New Roman" w:hAnsi="Times New Roman" w:cs="Times New Roman"/>
          <w:sz w:val="28"/>
          <w:szCs w:val="28"/>
          <w:lang w:val="en-US" w:eastAsia="zh-CN"/>
        </w:rPr>
        <w:t>10</w:t>
      </w:r>
      <w:r>
        <w:rPr>
          <w:rFonts w:hint="default" w:ascii="Times New Roman" w:hAnsi="Times New Roman" w:cs="Times New Roman"/>
          <w:sz w:val="28"/>
          <w:szCs w:val="28"/>
        </w:rPr>
        <w:t>月，标准起草组根据标准编制工作要求，</w:t>
      </w:r>
      <w:r>
        <w:rPr>
          <w:rFonts w:hint="eastAsia" w:ascii="Times New Roman" w:hAnsi="Times New Roman" w:cs="Times New Roman"/>
          <w:sz w:val="28"/>
          <w:szCs w:val="28"/>
          <w:lang w:eastAsia="zh-CN"/>
        </w:rPr>
        <w:t>召开</w:t>
      </w:r>
      <w:r>
        <w:rPr>
          <w:rFonts w:hint="default" w:ascii="Times New Roman" w:hAnsi="Times New Roman" w:cs="Times New Roman"/>
          <w:sz w:val="28"/>
          <w:szCs w:val="28"/>
        </w:rPr>
        <w:t>多轮线上线下会议，对以往研究进行了深入分析，对各参编单位编写内容进行了充分交流，完成了标准草案初稿。</w:t>
      </w:r>
    </w:p>
    <w:p w14:paraId="6CF7D4D2">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2025年</w:t>
      </w:r>
      <w:r>
        <w:rPr>
          <w:rFonts w:hint="default" w:ascii="Times New Roman" w:hAnsi="Times New Roman" w:cs="Times New Roman"/>
          <w:sz w:val="28"/>
          <w:szCs w:val="28"/>
          <w:lang w:val="en-US" w:eastAsia="zh-CN"/>
        </w:rPr>
        <w:t>11</w:t>
      </w:r>
      <w:r>
        <w:rPr>
          <w:rFonts w:hint="default" w:ascii="Times New Roman" w:hAnsi="Times New Roman" w:cs="Times New Roman"/>
          <w:sz w:val="28"/>
          <w:szCs w:val="28"/>
        </w:rPr>
        <w:t>月—202</w:t>
      </w:r>
      <w:r>
        <w:rPr>
          <w:rFonts w:hint="default" w:ascii="Times New Roman" w:hAnsi="Times New Roman" w:cs="Times New Roman"/>
          <w:sz w:val="28"/>
          <w:szCs w:val="28"/>
          <w:lang w:val="en-US" w:eastAsia="zh-CN"/>
        </w:rPr>
        <w:t>6</w:t>
      </w:r>
      <w:r>
        <w:rPr>
          <w:rFonts w:hint="default" w:ascii="Times New Roman" w:hAnsi="Times New Roman" w:cs="Times New Roman"/>
          <w:sz w:val="28"/>
          <w:szCs w:val="28"/>
        </w:rPr>
        <w:t>年1月，标准起草组开展多轮线上线下会议集中研讨、修改，形成标准征求意见稿及其编制说明，并提交中国港口协会。</w:t>
      </w:r>
    </w:p>
    <w:p w14:paraId="3EA05602">
      <w:pPr>
        <w:tabs>
          <w:tab w:val="left" w:pos="3544"/>
        </w:tabs>
        <w:spacing w:line="360" w:lineRule="auto"/>
        <w:ind w:firstLine="562" w:firstLineChars="200"/>
        <w:outlineLvl w:val="1"/>
        <w:rPr>
          <w:rFonts w:hint="default" w:ascii="Times New Roman" w:hAnsi="Times New Roman" w:cs="Times New Roman"/>
          <w:b/>
          <w:sz w:val="28"/>
          <w:szCs w:val="28"/>
        </w:rPr>
      </w:pPr>
      <w:r>
        <w:rPr>
          <w:rFonts w:hint="default" w:ascii="Times New Roman" w:hAnsi="Times New Roman" w:cs="Times New Roman"/>
          <w:b/>
          <w:sz w:val="28"/>
          <w:szCs w:val="28"/>
        </w:rPr>
        <w:t>（</w:t>
      </w:r>
      <w:r>
        <w:rPr>
          <w:rFonts w:hint="default" w:ascii="Times New Roman" w:hAnsi="Times New Roman" w:cs="Times New Roman"/>
          <w:b/>
          <w:sz w:val="28"/>
          <w:szCs w:val="28"/>
          <w:lang w:val="en-US" w:eastAsia="zh-CN"/>
        </w:rPr>
        <w:t>四</w:t>
      </w:r>
      <w:r>
        <w:rPr>
          <w:rFonts w:hint="default" w:ascii="Times New Roman" w:hAnsi="Times New Roman" w:cs="Times New Roman"/>
          <w:b/>
          <w:sz w:val="28"/>
          <w:szCs w:val="28"/>
        </w:rPr>
        <w:t>）标准起草单位、主要起草人及其工作内容</w:t>
      </w:r>
    </w:p>
    <w:p w14:paraId="281064A4">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本标准起草单位为舟山甬舟集装箱码头有限公司、交通运输部规划研究院、浙江省海港投资运营集团有限公司、浙江智港通科技有限公司。</w:t>
      </w:r>
    </w:p>
    <w:p w14:paraId="20C9D834">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lang w:val="en-US" w:eastAsia="zh-CN"/>
        </w:rPr>
        <w:t>其中，</w:t>
      </w:r>
      <w:r>
        <w:rPr>
          <w:rFonts w:hint="default" w:ascii="Times New Roman" w:hAnsi="Times New Roman" w:cs="Times New Roman"/>
          <w:sz w:val="28"/>
          <w:szCs w:val="28"/>
        </w:rPr>
        <w:t>舟山甬舟集装箱码头有限公司：牵头项目组织、调研安排、标准编制、进度和质量把关等。交通运输部规划研究院：</w:t>
      </w:r>
      <w:r>
        <w:rPr>
          <w:rFonts w:hint="eastAsia" w:ascii="Times New Roman" w:hAnsi="Times New Roman" w:cs="Times New Roman"/>
          <w:sz w:val="28"/>
          <w:szCs w:val="28"/>
          <w:lang w:val="en-US" w:eastAsia="zh-CN"/>
        </w:rPr>
        <w:t>参与</w:t>
      </w:r>
      <w:r>
        <w:rPr>
          <w:rFonts w:hint="default" w:ascii="Times New Roman" w:hAnsi="Times New Roman" w:cs="Times New Roman"/>
          <w:sz w:val="28"/>
          <w:szCs w:val="28"/>
        </w:rPr>
        <w:t>标准编制、进度和质量把关、参与项目调研等。浙江省海港投资运营集团有限公司、浙江智港通科技有限公司协助负责技术要求研究相关的调研、资料收集、参与技术要求研究和部分章节编制，以及协助组织各类技术交流、咨询审查会议等工作。</w:t>
      </w:r>
    </w:p>
    <w:p w14:paraId="1FDFCAA3">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本标准主要起草人：汤碧海、邢宇鹏、胡豪炜、李柏丹、王广宁、</w:t>
      </w:r>
      <w:r>
        <w:rPr>
          <w:rFonts w:hint="default" w:ascii="Times New Roman" w:hAnsi="Times New Roman" w:cs="Times New Roman"/>
          <w:sz w:val="28"/>
          <w:szCs w:val="28"/>
          <w:lang w:val="en-US" w:eastAsia="zh-CN"/>
        </w:rPr>
        <w:t>颜豪洁、</w:t>
      </w:r>
      <w:r>
        <w:rPr>
          <w:rFonts w:hint="default" w:ascii="Times New Roman" w:hAnsi="Times New Roman" w:cs="Times New Roman"/>
          <w:sz w:val="28"/>
          <w:szCs w:val="28"/>
        </w:rPr>
        <w:t>敖腾、费波、吴伟、江涛、俞春江、崔云、朱甬翔、李耀、胡卓彦、虞梁、周国强、李佳盛</w:t>
      </w:r>
      <w:r>
        <w:rPr>
          <w:rFonts w:hint="default" w:ascii="Times New Roman" w:hAnsi="Times New Roman" w:cs="Times New Roman"/>
          <w:sz w:val="28"/>
          <w:szCs w:val="28"/>
          <w:lang w:eastAsia="zh-CN"/>
        </w:rPr>
        <w:t>。</w:t>
      </w:r>
      <w:r>
        <w:rPr>
          <w:rFonts w:hint="default" w:ascii="Times New Roman" w:hAnsi="Times New Roman" w:cs="Times New Roman"/>
          <w:sz w:val="28"/>
          <w:szCs w:val="28"/>
        </w:rPr>
        <w:t>标准起草人所做工作见表1。</w:t>
      </w:r>
    </w:p>
    <w:p w14:paraId="676D9772">
      <w:pPr>
        <w:spacing w:line="360" w:lineRule="auto"/>
        <w:jc w:val="center"/>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表1起草人及所做的工作</w:t>
      </w:r>
    </w:p>
    <w:tbl>
      <w:tblPr>
        <w:tblStyle w:val="1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3"/>
        <w:gridCol w:w="1476"/>
        <w:gridCol w:w="2509"/>
        <w:gridCol w:w="4285"/>
      </w:tblGrid>
      <w:tr w14:paraId="02392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314" w:type="pct"/>
            <w:shd w:val="clear" w:color="auto" w:fill="auto"/>
            <w:vAlign w:val="center"/>
          </w:tcPr>
          <w:p w14:paraId="7257CE26">
            <w:pPr>
              <w:keepNext w:val="0"/>
              <w:keepLines w:val="0"/>
              <w:suppressLineNumbers w:val="0"/>
              <w:spacing w:before="0" w:beforeAutospacing="0" w:after="0" w:afterAutospacing="0"/>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序号</w:t>
            </w:r>
          </w:p>
        </w:tc>
        <w:tc>
          <w:tcPr>
            <w:tcW w:w="836" w:type="pct"/>
            <w:shd w:val="clear" w:color="auto" w:fill="auto"/>
            <w:vAlign w:val="center"/>
          </w:tcPr>
          <w:p w14:paraId="2D8C6A90">
            <w:pPr>
              <w:keepNext w:val="0"/>
              <w:keepLines w:val="0"/>
              <w:suppressLineNumbers w:val="0"/>
              <w:spacing w:before="0" w:beforeAutospacing="0" w:after="0" w:afterAutospacing="0"/>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起草人</w:t>
            </w:r>
          </w:p>
        </w:tc>
        <w:tc>
          <w:tcPr>
            <w:tcW w:w="1421" w:type="pct"/>
            <w:shd w:val="clear" w:color="auto" w:fill="auto"/>
            <w:vAlign w:val="center"/>
          </w:tcPr>
          <w:p w14:paraId="7EE0D95F">
            <w:pPr>
              <w:keepNext w:val="0"/>
              <w:keepLines w:val="0"/>
              <w:suppressLineNumbers w:val="0"/>
              <w:spacing w:before="0" w:beforeAutospacing="0" w:after="0" w:afterAutospacing="0"/>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工作单位</w:t>
            </w:r>
          </w:p>
        </w:tc>
        <w:tc>
          <w:tcPr>
            <w:tcW w:w="2427" w:type="pct"/>
            <w:shd w:val="clear" w:color="auto" w:fill="auto"/>
            <w:vAlign w:val="center"/>
          </w:tcPr>
          <w:p w14:paraId="13000128">
            <w:pPr>
              <w:keepNext w:val="0"/>
              <w:keepLines w:val="0"/>
              <w:suppressLineNumbers w:val="0"/>
              <w:spacing w:before="0" w:beforeAutospacing="0" w:after="0" w:afterAutospacing="0"/>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主要工作</w:t>
            </w:r>
          </w:p>
        </w:tc>
      </w:tr>
      <w:tr w14:paraId="2BA2F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65BBE676">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74852325">
            <w:pPr>
              <w:keepNext w:val="0"/>
              <w:keepLines w:val="0"/>
              <w:suppressLineNumbers w:val="0"/>
              <w:tabs>
                <w:tab w:val="left" w:pos="3544"/>
              </w:tabs>
              <w:spacing w:before="0" w:beforeAutospacing="0" w:after="0" w:afterAutospacing="0"/>
              <w:ind w:left="0" w:right="105" w:rightChars="50"/>
              <w:jc w:val="center"/>
              <w:rPr>
                <w:rFonts w:hint="default" w:ascii="Times New Roman" w:hAnsi="Times New Roman" w:cs="Times New Roman"/>
                <w:bCs/>
                <w:sz w:val="24"/>
                <w:szCs w:val="24"/>
              </w:rPr>
            </w:pPr>
            <w:r>
              <w:rPr>
                <w:rFonts w:hint="default" w:ascii="Times New Roman" w:hAnsi="Times New Roman" w:cs="Times New Roman"/>
                <w:sz w:val="24"/>
                <w:szCs w:val="24"/>
              </w:rPr>
              <w:t>汤碧海</w:t>
            </w:r>
          </w:p>
        </w:tc>
        <w:tc>
          <w:tcPr>
            <w:tcW w:w="1421" w:type="pct"/>
            <w:shd w:val="clear" w:color="auto" w:fill="auto"/>
            <w:vAlign w:val="center"/>
          </w:tcPr>
          <w:p w14:paraId="32A230F6">
            <w:pPr>
              <w:keepNext w:val="0"/>
              <w:keepLines w:val="0"/>
              <w:suppressLineNumbers w:val="0"/>
              <w:spacing w:before="0" w:beforeAutospacing="0" w:after="0" w:afterAutospacing="0"/>
              <w:ind w:left="0" w:right="0"/>
              <w:jc w:val="center"/>
              <w:rPr>
                <w:rFonts w:hint="default" w:ascii="Times New Roman" w:hAnsi="Times New Roman" w:cs="Times New Roman"/>
                <w:bCs/>
                <w:sz w:val="24"/>
                <w:szCs w:val="24"/>
              </w:rPr>
            </w:pPr>
            <w:r>
              <w:rPr>
                <w:rFonts w:hint="default" w:ascii="Times New Roman" w:hAnsi="Times New Roman" w:eastAsia="宋体" w:cs="Times New Roman"/>
                <w:color w:val="000000"/>
                <w:kern w:val="0"/>
                <w:sz w:val="24"/>
                <w:szCs w:val="24"/>
                <w:lang w:val="en-US" w:eastAsia="zh-CN" w:bidi="ar"/>
              </w:rPr>
              <w:t>舟山甬舟集装箱码头有限公司</w:t>
            </w:r>
          </w:p>
        </w:tc>
        <w:tc>
          <w:tcPr>
            <w:tcW w:w="2427" w:type="pct"/>
            <w:shd w:val="clear" w:color="auto" w:fill="auto"/>
            <w:vAlign w:val="center"/>
          </w:tcPr>
          <w:p w14:paraId="133D2436">
            <w:pPr>
              <w:keepNext w:val="0"/>
              <w:keepLines w:val="0"/>
              <w:widowControl/>
              <w:suppressLineNumbers w:val="0"/>
              <w:spacing w:before="0" w:beforeAutospacing="0" w:after="0" w:afterAutospacing="0"/>
              <w:ind w:left="0" w:right="0"/>
              <w:jc w:val="left"/>
              <w:rPr>
                <w:rFonts w:hint="default" w:ascii="Times New Roman" w:hAnsi="Times New Roman" w:cs="Times New Roman"/>
                <w:bCs/>
                <w:sz w:val="24"/>
                <w:szCs w:val="24"/>
              </w:rPr>
            </w:pPr>
            <w:r>
              <w:rPr>
                <w:rFonts w:hint="default" w:ascii="Times New Roman" w:hAnsi="Times New Roman" w:cs="Times New Roman"/>
                <w:color w:val="000000"/>
                <w:kern w:val="0"/>
                <w:sz w:val="24"/>
                <w:szCs w:val="24"/>
                <w:lang w:bidi="ar"/>
              </w:rPr>
              <w:t>负责前期立项申请、组织召开评审会、推进工作进度；对标准框架、思路、文本质量进行把关，统筹工作进度和起草组人员配备，参与标准第</w:t>
            </w:r>
            <w:r>
              <w:rPr>
                <w:rFonts w:hint="default" w:ascii="Times New Roman" w:hAnsi="Times New Roman" w:cs="Times New Roman"/>
                <w:color w:val="000000"/>
                <w:kern w:val="0"/>
                <w:sz w:val="24"/>
                <w:szCs w:val="24"/>
                <w:lang w:val="en-US" w:eastAsia="zh-CN" w:bidi="ar"/>
              </w:rPr>
              <w:t>4</w:t>
            </w:r>
            <w:r>
              <w:rPr>
                <w:rFonts w:hint="default" w:ascii="Times New Roman" w:hAnsi="Times New Roman" w:cs="Times New Roman"/>
                <w:color w:val="000000"/>
                <w:kern w:val="0"/>
                <w:sz w:val="24"/>
                <w:szCs w:val="24"/>
                <w:lang w:bidi="ar"/>
              </w:rPr>
              <w:t>章编写。</w:t>
            </w:r>
          </w:p>
        </w:tc>
      </w:tr>
      <w:tr w14:paraId="1BF1E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2554EADD">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45C2DF8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邢宇鹏</w:t>
            </w:r>
          </w:p>
        </w:tc>
        <w:tc>
          <w:tcPr>
            <w:tcW w:w="1421" w:type="pct"/>
            <w:shd w:val="clear" w:color="auto" w:fill="auto"/>
            <w:vAlign w:val="center"/>
          </w:tcPr>
          <w:p w14:paraId="6005FD3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交通运输部规划研究院</w:t>
            </w:r>
          </w:p>
        </w:tc>
        <w:tc>
          <w:tcPr>
            <w:tcW w:w="2427" w:type="pct"/>
            <w:shd w:val="clear" w:color="auto" w:fill="auto"/>
            <w:vAlign w:val="center"/>
          </w:tcPr>
          <w:p w14:paraId="60CFB8D0">
            <w:pPr>
              <w:keepNext w:val="0"/>
              <w:keepLines w:val="0"/>
              <w:widowControl/>
              <w:suppressLineNumbers w:val="0"/>
              <w:spacing w:before="0" w:beforeAutospacing="0" w:after="0" w:afterAutospacing="0"/>
              <w:ind w:left="0" w:right="0"/>
              <w:jc w:val="left"/>
              <w:rPr>
                <w:rFonts w:hint="default" w:ascii="Times New Roman" w:hAnsi="Times New Roman" w:cs="Times New Roman"/>
                <w:bCs/>
                <w:sz w:val="24"/>
                <w:szCs w:val="24"/>
              </w:rPr>
            </w:pPr>
            <w:r>
              <w:rPr>
                <w:rFonts w:hint="default" w:ascii="Times New Roman" w:hAnsi="Times New Roman" w:cs="Times New Roman"/>
                <w:color w:val="000000"/>
                <w:kern w:val="0"/>
                <w:sz w:val="24"/>
                <w:szCs w:val="24"/>
                <w:lang w:bidi="ar"/>
              </w:rPr>
              <w:t>负责标准文本、框架、标准第</w:t>
            </w:r>
            <w:r>
              <w:rPr>
                <w:rFonts w:hint="default" w:ascii="Times New Roman" w:hAnsi="Times New Roman" w:cs="Times New Roman"/>
                <w:color w:val="000000"/>
                <w:kern w:val="0"/>
                <w:sz w:val="24"/>
                <w:szCs w:val="24"/>
                <w:lang w:val="en-US" w:eastAsia="zh-CN" w:bidi="ar"/>
              </w:rPr>
              <w:t>4</w:t>
            </w:r>
            <w:r>
              <w:rPr>
                <w:rFonts w:hint="default" w:ascii="Times New Roman" w:hAnsi="Times New Roman" w:cs="Times New Roman"/>
                <w:color w:val="000000"/>
                <w:kern w:val="0"/>
                <w:sz w:val="24"/>
                <w:szCs w:val="24"/>
                <w:lang w:bidi="ar"/>
              </w:rPr>
              <w:t>章和</w:t>
            </w:r>
            <w:r>
              <w:rPr>
                <w:rFonts w:hint="default" w:ascii="Times New Roman" w:hAnsi="Times New Roman" w:cs="Times New Roman"/>
                <w:color w:val="000000"/>
                <w:kern w:val="0"/>
                <w:sz w:val="24"/>
                <w:szCs w:val="24"/>
                <w:lang w:val="en-US" w:eastAsia="zh-CN" w:bidi="ar"/>
              </w:rPr>
              <w:t>第5章</w:t>
            </w:r>
            <w:r>
              <w:rPr>
                <w:rFonts w:hint="default" w:ascii="Times New Roman" w:hAnsi="Times New Roman" w:cs="Times New Roman"/>
                <w:color w:val="000000"/>
                <w:kern w:val="0"/>
                <w:sz w:val="24"/>
                <w:szCs w:val="24"/>
                <w:lang w:bidi="ar"/>
              </w:rPr>
              <w:t>编写、标准编制说明编写等。</w:t>
            </w:r>
          </w:p>
        </w:tc>
      </w:tr>
      <w:tr w14:paraId="7ED98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131F056D">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3F29556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bidi="ar"/>
              </w:rPr>
              <w:t>李柏丹</w:t>
            </w:r>
          </w:p>
        </w:tc>
        <w:tc>
          <w:tcPr>
            <w:tcW w:w="1421" w:type="pct"/>
            <w:shd w:val="clear" w:color="auto" w:fill="auto"/>
            <w:vAlign w:val="center"/>
          </w:tcPr>
          <w:p w14:paraId="43352F7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交通运输部规划研究院</w:t>
            </w:r>
          </w:p>
        </w:tc>
        <w:tc>
          <w:tcPr>
            <w:tcW w:w="2427" w:type="pct"/>
            <w:shd w:val="clear" w:color="auto" w:fill="auto"/>
            <w:vAlign w:val="center"/>
          </w:tcPr>
          <w:p w14:paraId="71B4B18C">
            <w:pPr>
              <w:keepNext w:val="0"/>
              <w:keepLines w:val="0"/>
              <w:suppressLineNumbers w:val="0"/>
              <w:tabs>
                <w:tab w:val="left" w:pos="3544"/>
              </w:tabs>
              <w:spacing w:before="0" w:beforeAutospacing="0" w:after="0" w:afterAutospacing="0"/>
              <w:ind w:left="0" w:right="105" w:rightChars="50"/>
              <w:jc w:val="left"/>
              <w:rPr>
                <w:rFonts w:hint="default" w:ascii="Times New Roman" w:hAnsi="Times New Roman" w:eastAsia="宋体" w:cs="Times New Roman"/>
                <w:bCs/>
                <w:kern w:val="2"/>
                <w:sz w:val="24"/>
                <w:szCs w:val="24"/>
                <w:lang w:val="en-US" w:eastAsia="zh-CN" w:bidi="ar-SA"/>
              </w:rPr>
            </w:pPr>
            <w:r>
              <w:rPr>
                <w:rFonts w:hint="default" w:ascii="Times New Roman" w:hAnsi="Times New Roman" w:cs="Times New Roman"/>
                <w:color w:val="000000"/>
                <w:kern w:val="0"/>
                <w:sz w:val="24"/>
                <w:szCs w:val="24"/>
                <w:lang w:bidi="ar"/>
              </w:rPr>
              <w:t>对标准框架、思路、文本质量进行把关，</w:t>
            </w:r>
            <w:r>
              <w:rPr>
                <w:rFonts w:hint="default" w:ascii="Times New Roman" w:hAnsi="Times New Roman" w:cs="Times New Roman"/>
                <w:bCs/>
                <w:sz w:val="24"/>
                <w:szCs w:val="24"/>
              </w:rPr>
              <w:t>主要参与标准第</w:t>
            </w:r>
            <w:r>
              <w:rPr>
                <w:rFonts w:hint="default" w:ascii="Times New Roman" w:hAnsi="Times New Roman" w:cs="Times New Roman"/>
                <w:bCs/>
                <w:sz w:val="24"/>
                <w:szCs w:val="24"/>
                <w:lang w:val="en-US" w:eastAsia="zh-CN"/>
              </w:rPr>
              <w:t>5</w:t>
            </w:r>
            <w:r>
              <w:rPr>
                <w:rFonts w:hint="default" w:ascii="Times New Roman" w:hAnsi="Times New Roman" w:cs="Times New Roman"/>
                <w:bCs/>
                <w:sz w:val="24"/>
                <w:szCs w:val="24"/>
              </w:rPr>
              <w:t>章编写。</w:t>
            </w:r>
          </w:p>
        </w:tc>
      </w:tr>
      <w:tr w14:paraId="5D026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2739784E">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5E7E3CD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胡豪炜</w:t>
            </w:r>
          </w:p>
        </w:tc>
        <w:tc>
          <w:tcPr>
            <w:tcW w:w="1421" w:type="pct"/>
            <w:shd w:val="clear" w:color="auto" w:fill="auto"/>
            <w:vAlign w:val="center"/>
          </w:tcPr>
          <w:p w14:paraId="2BF0FE8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舟山甬舟集装箱码头有限公司</w:t>
            </w:r>
          </w:p>
        </w:tc>
        <w:tc>
          <w:tcPr>
            <w:tcW w:w="2427" w:type="pct"/>
            <w:shd w:val="clear" w:color="auto" w:fill="auto"/>
            <w:vAlign w:val="center"/>
          </w:tcPr>
          <w:p w14:paraId="5761C654">
            <w:pPr>
              <w:keepNext w:val="0"/>
              <w:keepLines w:val="0"/>
              <w:widowControl/>
              <w:suppressLineNumbers w:val="0"/>
              <w:spacing w:before="0" w:beforeAutospacing="0" w:after="0" w:afterAutospacing="0"/>
              <w:ind w:left="0" w:right="0"/>
              <w:jc w:val="left"/>
              <w:rPr>
                <w:rFonts w:hint="default" w:ascii="Times New Roman" w:hAnsi="Times New Roman" w:cs="Times New Roman"/>
                <w:bCs/>
                <w:sz w:val="24"/>
                <w:szCs w:val="24"/>
              </w:rPr>
            </w:pPr>
            <w:r>
              <w:rPr>
                <w:rFonts w:hint="default" w:ascii="Times New Roman" w:hAnsi="Times New Roman" w:cs="Times New Roman"/>
                <w:color w:val="000000"/>
                <w:kern w:val="0"/>
                <w:sz w:val="24"/>
                <w:szCs w:val="24"/>
                <w:lang w:bidi="ar"/>
              </w:rPr>
              <w:t>协调组织调研和访谈交流，</w:t>
            </w:r>
            <w:r>
              <w:rPr>
                <w:rFonts w:hint="default" w:ascii="Times New Roman" w:hAnsi="Times New Roman" w:cs="Times New Roman"/>
                <w:color w:val="000000"/>
                <w:kern w:val="0"/>
                <w:sz w:val="24"/>
                <w:szCs w:val="24"/>
                <w:lang w:val="en-US" w:eastAsia="zh-CN" w:bidi="ar"/>
              </w:rPr>
              <w:t>负责第5章、附件</w:t>
            </w:r>
            <w:r>
              <w:rPr>
                <w:rFonts w:hint="default" w:ascii="Times New Roman" w:hAnsi="Times New Roman" w:cs="Times New Roman"/>
                <w:color w:val="000000"/>
                <w:kern w:val="0"/>
                <w:sz w:val="24"/>
                <w:szCs w:val="24"/>
                <w:lang w:bidi="ar"/>
              </w:rPr>
              <w:t>编写。</w:t>
            </w:r>
          </w:p>
        </w:tc>
      </w:tr>
      <w:tr w14:paraId="0FD2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4068E988">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13D3D4C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bidi="ar"/>
              </w:rPr>
              <w:t>王广宁</w:t>
            </w:r>
          </w:p>
        </w:tc>
        <w:tc>
          <w:tcPr>
            <w:tcW w:w="1421" w:type="pct"/>
            <w:shd w:val="clear" w:color="auto" w:fill="auto"/>
            <w:vAlign w:val="center"/>
          </w:tcPr>
          <w:p w14:paraId="4096D65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宁波舟山港集团有限公司</w:t>
            </w:r>
          </w:p>
        </w:tc>
        <w:tc>
          <w:tcPr>
            <w:tcW w:w="2427" w:type="pct"/>
            <w:shd w:val="clear" w:color="auto" w:fill="auto"/>
            <w:vAlign w:val="center"/>
          </w:tcPr>
          <w:p w14:paraId="75A9D810">
            <w:pPr>
              <w:keepNext w:val="0"/>
              <w:keepLines w:val="0"/>
              <w:widowControl/>
              <w:suppressLineNumbers w:val="0"/>
              <w:spacing w:before="0" w:beforeAutospacing="0" w:after="0" w:afterAutospacing="0"/>
              <w:ind w:left="0" w:right="0"/>
              <w:jc w:val="left"/>
              <w:rPr>
                <w:rFonts w:hint="default" w:ascii="Times New Roman" w:hAnsi="Times New Roman" w:cs="Times New Roman"/>
                <w:bCs/>
                <w:sz w:val="24"/>
                <w:szCs w:val="24"/>
              </w:rPr>
            </w:pPr>
            <w:r>
              <w:rPr>
                <w:rFonts w:hint="default" w:ascii="Times New Roman" w:hAnsi="Times New Roman" w:cs="Times New Roman"/>
                <w:color w:val="000000"/>
                <w:kern w:val="0"/>
                <w:sz w:val="24"/>
                <w:szCs w:val="24"/>
                <w:lang w:bidi="ar"/>
              </w:rPr>
              <w:t>协调组织调研和访谈交流，</w:t>
            </w:r>
            <w:r>
              <w:rPr>
                <w:rFonts w:hint="default" w:ascii="Times New Roman" w:hAnsi="Times New Roman" w:cs="Times New Roman"/>
                <w:color w:val="000000"/>
                <w:kern w:val="0"/>
                <w:sz w:val="24"/>
                <w:szCs w:val="24"/>
                <w:lang w:val="en-US" w:eastAsia="zh-CN" w:bidi="ar"/>
              </w:rPr>
              <w:t>负责第6章</w:t>
            </w:r>
            <w:r>
              <w:rPr>
                <w:rFonts w:hint="default" w:ascii="Times New Roman" w:hAnsi="Times New Roman" w:cs="Times New Roman"/>
                <w:color w:val="000000"/>
                <w:kern w:val="0"/>
                <w:sz w:val="24"/>
                <w:szCs w:val="24"/>
                <w:lang w:bidi="ar"/>
              </w:rPr>
              <w:t>编写。</w:t>
            </w:r>
          </w:p>
        </w:tc>
      </w:tr>
      <w:tr w14:paraId="277A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55790D46">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549ED90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颜豪洁</w:t>
            </w:r>
          </w:p>
        </w:tc>
        <w:tc>
          <w:tcPr>
            <w:tcW w:w="1421" w:type="pct"/>
            <w:shd w:val="clear" w:color="auto" w:fill="auto"/>
            <w:vAlign w:val="center"/>
          </w:tcPr>
          <w:p w14:paraId="73A638F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宁波舟山港集团有限公司</w:t>
            </w:r>
          </w:p>
        </w:tc>
        <w:tc>
          <w:tcPr>
            <w:tcW w:w="2427" w:type="pct"/>
            <w:shd w:val="clear" w:color="auto" w:fill="auto"/>
            <w:vAlign w:val="center"/>
          </w:tcPr>
          <w:p w14:paraId="2E54878F">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cs="Times New Roman"/>
                <w:bCs/>
                <w:sz w:val="24"/>
                <w:szCs w:val="24"/>
              </w:rPr>
              <w:t>参与调研、资料整理，参与相关技术研究，</w:t>
            </w:r>
            <w:r>
              <w:rPr>
                <w:rFonts w:hint="default" w:ascii="Times New Roman" w:hAnsi="Times New Roman" w:cs="Times New Roman"/>
                <w:bCs/>
                <w:sz w:val="24"/>
                <w:szCs w:val="24"/>
                <w:lang w:val="en-US" w:eastAsia="zh-CN"/>
              </w:rPr>
              <w:t>参与第6章编写。</w:t>
            </w:r>
          </w:p>
        </w:tc>
      </w:tr>
      <w:tr w14:paraId="39855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25A99D39">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75E7B68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费  波</w:t>
            </w:r>
          </w:p>
        </w:tc>
        <w:tc>
          <w:tcPr>
            <w:tcW w:w="1421" w:type="pct"/>
            <w:shd w:val="clear" w:color="auto" w:fill="auto"/>
            <w:vAlign w:val="center"/>
          </w:tcPr>
          <w:p w14:paraId="5551B0A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舟山甬舟集装箱码头有限公司</w:t>
            </w:r>
          </w:p>
        </w:tc>
        <w:tc>
          <w:tcPr>
            <w:tcW w:w="2427" w:type="pct"/>
            <w:shd w:val="clear" w:color="auto" w:fill="auto"/>
            <w:vAlign w:val="center"/>
          </w:tcPr>
          <w:p w14:paraId="39F2FA9E">
            <w:pPr>
              <w:keepNext w:val="0"/>
              <w:keepLines w:val="0"/>
              <w:suppressLineNumbers w:val="0"/>
              <w:tabs>
                <w:tab w:val="left" w:pos="3544"/>
              </w:tabs>
              <w:spacing w:before="0" w:beforeAutospacing="0" w:after="0" w:afterAutospacing="0"/>
              <w:ind w:left="0" w:right="105" w:rightChars="50"/>
              <w:jc w:val="left"/>
              <w:rPr>
                <w:rFonts w:hint="default" w:ascii="Times New Roman" w:hAnsi="Times New Roman" w:cs="Times New Roman"/>
                <w:bCs/>
                <w:sz w:val="24"/>
                <w:szCs w:val="24"/>
              </w:rPr>
            </w:pPr>
            <w:r>
              <w:rPr>
                <w:rFonts w:hint="default" w:ascii="Times New Roman" w:hAnsi="Times New Roman" w:cs="Times New Roman"/>
                <w:bCs/>
                <w:sz w:val="24"/>
                <w:szCs w:val="24"/>
              </w:rPr>
              <w:t>参与调研、资料整理，参与相关技术研究，</w:t>
            </w:r>
            <w:r>
              <w:rPr>
                <w:rFonts w:hint="default" w:ascii="Times New Roman" w:hAnsi="Times New Roman" w:cs="Times New Roman"/>
                <w:bCs/>
                <w:sz w:val="24"/>
                <w:szCs w:val="24"/>
                <w:lang w:val="en-US" w:eastAsia="zh-CN"/>
              </w:rPr>
              <w:t>参与</w:t>
            </w:r>
            <w:r>
              <w:rPr>
                <w:rFonts w:hint="default" w:ascii="Times New Roman" w:hAnsi="Times New Roman" w:cs="Times New Roman"/>
                <w:bCs/>
                <w:sz w:val="24"/>
                <w:szCs w:val="24"/>
              </w:rPr>
              <w:t>标准第</w:t>
            </w:r>
            <w:r>
              <w:rPr>
                <w:rFonts w:hint="default" w:ascii="Times New Roman" w:hAnsi="Times New Roman" w:cs="Times New Roman"/>
                <w:bCs/>
                <w:sz w:val="24"/>
                <w:szCs w:val="24"/>
                <w:lang w:val="en-US" w:eastAsia="zh-CN"/>
              </w:rPr>
              <w:t>7</w:t>
            </w:r>
            <w:r>
              <w:rPr>
                <w:rFonts w:hint="default" w:ascii="Times New Roman" w:hAnsi="Times New Roman" w:cs="Times New Roman"/>
                <w:bCs/>
                <w:sz w:val="24"/>
                <w:szCs w:val="24"/>
              </w:rPr>
              <w:t>章编写。</w:t>
            </w:r>
          </w:p>
        </w:tc>
      </w:tr>
      <w:tr w14:paraId="3D0A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4AFCB37F">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5B7EF01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bidi="ar"/>
              </w:rPr>
              <w:t>敖</w:t>
            </w:r>
            <w:r>
              <w:rPr>
                <w:rFonts w:hint="default"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bidi="ar"/>
              </w:rPr>
              <w:t>腾</w:t>
            </w:r>
          </w:p>
        </w:tc>
        <w:tc>
          <w:tcPr>
            <w:tcW w:w="1421" w:type="pct"/>
            <w:shd w:val="clear" w:color="auto" w:fill="auto"/>
            <w:vAlign w:val="center"/>
          </w:tcPr>
          <w:p w14:paraId="2FCDA43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bidi="ar"/>
              </w:rPr>
              <w:t>交通运输部规划研究院</w:t>
            </w:r>
          </w:p>
        </w:tc>
        <w:tc>
          <w:tcPr>
            <w:tcW w:w="2427" w:type="pct"/>
            <w:shd w:val="clear" w:color="auto" w:fill="auto"/>
            <w:vAlign w:val="center"/>
          </w:tcPr>
          <w:p w14:paraId="7F2156C6">
            <w:pPr>
              <w:keepNext w:val="0"/>
              <w:keepLines w:val="0"/>
              <w:suppressLineNumbers w:val="0"/>
              <w:tabs>
                <w:tab w:val="left" w:pos="3544"/>
              </w:tabs>
              <w:spacing w:before="0" w:beforeAutospacing="0" w:after="0" w:afterAutospacing="0"/>
              <w:ind w:left="0" w:right="105" w:rightChars="50"/>
              <w:jc w:val="left"/>
              <w:rPr>
                <w:rFonts w:hint="default" w:ascii="Times New Roman" w:hAnsi="Times New Roman" w:eastAsia="宋体" w:cs="Times New Roman"/>
                <w:bCs/>
                <w:kern w:val="2"/>
                <w:sz w:val="24"/>
                <w:szCs w:val="24"/>
                <w:lang w:val="en-US" w:eastAsia="zh-CN" w:bidi="ar-SA"/>
              </w:rPr>
            </w:pPr>
            <w:r>
              <w:rPr>
                <w:rFonts w:hint="default" w:ascii="Times New Roman" w:hAnsi="Times New Roman" w:cs="Times New Roman"/>
                <w:bCs/>
                <w:sz w:val="24"/>
                <w:szCs w:val="24"/>
              </w:rPr>
              <w:t>参与调研、资料整理，参与相关技术研究，</w:t>
            </w:r>
            <w:r>
              <w:rPr>
                <w:rFonts w:hint="default" w:ascii="Times New Roman" w:hAnsi="Times New Roman" w:cs="Times New Roman"/>
                <w:bCs/>
                <w:sz w:val="24"/>
                <w:szCs w:val="24"/>
                <w:lang w:val="en-US" w:eastAsia="zh-CN"/>
              </w:rPr>
              <w:t>参与</w:t>
            </w:r>
            <w:r>
              <w:rPr>
                <w:rFonts w:hint="default" w:ascii="Times New Roman" w:hAnsi="Times New Roman" w:cs="Times New Roman"/>
                <w:bCs/>
                <w:sz w:val="24"/>
                <w:szCs w:val="24"/>
                <w:lang w:eastAsia="zh-CN"/>
              </w:rPr>
              <w:t>标准附录</w:t>
            </w:r>
            <w:r>
              <w:rPr>
                <w:rFonts w:hint="default" w:ascii="Times New Roman" w:hAnsi="Times New Roman" w:cs="Times New Roman"/>
                <w:bCs/>
                <w:sz w:val="24"/>
                <w:szCs w:val="24"/>
              </w:rPr>
              <w:t>编写。</w:t>
            </w:r>
          </w:p>
        </w:tc>
      </w:tr>
      <w:tr w14:paraId="63753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649D04ED">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76D2F06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吴  伟</w:t>
            </w:r>
          </w:p>
        </w:tc>
        <w:tc>
          <w:tcPr>
            <w:tcW w:w="1421" w:type="pct"/>
            <w:shd w:val="clear" w:color="auto" w:fill="auto"/>
            <w:vAlign w:val="center"/>
          </w:tcPr>
          <w:p w14:paraId="155EA13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舟山甬舟集装箱码头有限公司</w:t>
            </w:r>
          </w:p>
        </w:tc>
        <w:tc>
          <w:tcPr>
            <w:tcW w:w="2427" w:type="pct"/>
            <w:shd w:val="clear" w:color="auto" w:fill="auto"/>
            <w:vAlign w:val="center"/>
          </w:tcPr>
          <w:p w14:paraId="6A5BEBE2">
            <w:pPr>
              <w:keepNext w:val="0"/>
              <w:keepLines w:val="0"/>
              <w:widowControl/>
              <w:suppressLineNumbers w:val="0"/>
              <w:spacing w:before="0" w:beforeAutospacing="0" w:after="0" w:afterAutospacing="0"/>
              <w:ind w:left="0" w:right="0"/>
              <w:jc w:val="left"/>
              <w:rPr>
                <w:rFonts w:hint="default" w:ascii="Times New Roman" w:hAnsi="Times New Roman" w:cs="Times New Roman"/>
                <w:bCs/>
                <w:sz w:val="24"/>
                <w:szCs w:val="24"/>
              </w:rPr>
            </w:pPr>
            <w:r>
              <w:rPr>
                <w:rFonts w:hint="default" w:ascii="Times New Roman" w:hAnsi="Times New Roman" w:cs="Times New Roman"/>
                <w:color w:val="000000"/>
                <w:kern w:val="0"/>
                <w:sz w:val="24"/>
                <w:szCs w:val="24"/>
                <w:lang w:bidi="ar"/>
              </w:rPr>
              <w:t>协调组织调研和访谈交流，</w:t>
            </w:r>
            <w:r>
              <w:rPr>
                <w:rFonts w:hint="default" w:ascii="Times New Roman" w:hAnsi="Times New Roman" w:cs="Times New Roman"/>
                <w:bCs/>
                <w:sz w:val="24"/>
                <w:szCs w:val="24"/>
              </w:rPr>
              <w:t>参与调研、资料整理，参与相关技术研究</w:t>
            </w:r>
            <w:r>
              <w:rPr>
                <w:rFonts w:hint="default" w:ascii="Times New Roman" w:hAnsi="Times New Roman" w:cs="Times New Roman"/>
                <w:bCs/>
                <w:sz w:val="24"/>
                <w:szCs w:val="24"/>
                <w:lang w:eastAsia="zh-CN"/>
              </w:rPr>
              <w:t>，</w:t>
            </w:r>
            <w:r>
              <w:rPr>
                <w:rFonts w:hint="default" w:ascii="Times New Roman" w:hAnsi="Times New Roman" w:cs="Times New Roman"/>
                <w:bCs/>
                <w:sz w:val="24"/>
                <w:szCs w:val="24"/>
                <w:lang w:val="en-US" w:eastAsia="zh-CN"/>
              </w:rPr>
              <w:t>参与</w:t>
            </w:r>
            <w:r>
              <w:rPr>
                <w:rFonts w:hint="default" w:ascii="Times New Roman" w:hAnsi="Times New Roman" w:cs="Times New Roman"/>
                <w:color w:val="000000"/>
                <w:kern w:val="0"/>
                <w:sz w:val="24"/>
                <w:szCs w:val="24"/>
                <w:lang w:bidi="ar"/>
              </w:rPr>
              <w:t>第</w:t>
            </w:r>
            <w:r>
              <w:rPr>
                <w:rFonts w:hint="default" w:ascii="Times New Roman" w:hAnsi="Times New Roman" w:cs="Times New Roman"/>
                <w:color w:val="000000"/>
                <w:kern w:val="0"/>
                <w:sz w:val="24"/>
                <w:szCs w:val="24"/>
                <w:lang w:val="en-US" w:eastAsia="zh-CN" w:bidi="ar"/>
              </w:rPr>
              <w:t>4</w:t>
            </w:r>
            <w:r>
              <w:rPr>
                <w:rFonts w:hint="default" w:ascii="Times New Roman" w:hAnsi="Times New Roman" w:cs="Times New Roman"/>
                <w:color w:val="000000"/>
                <w:kern w:val="0"/>
                <w:sz w:val="24"/>
                <w:szCs w:val="24"/>
                <w:lang w:bidi="ar"/>
              </w:rPr>
              <w:t>章</w:t>
            </w:r>
            <w:r>
              <w:rPr>
                <w:rFonts w:hint="default" w:ascii="Times New Roman" w:hAnsi="Times New Roman" w:cs="Times New Roman"/>
                <w:color w:val="000000"/>
                <w:kern w:val="0"/>
                <w:sz w:val="24"/>
                <w:szCs w:val="24"/>
                <w:lang w:val="en-US" w:eastAsia="zh-CN" w:bidi="ar"/>
              </w:rPr>
              <w:t>编写</w:t>
            </w:r>
            <w:r>
              <w:rPr>
                <w:rFonts w:hint="default" w:ascii="Times New Roman" w:hAnsi="Times New Roman" w:cs="Times New Roman"/>
                <w:bCs/>
                <w:sz w:val="24"/>
                <w:szCs w:val="24"/>
              </w:rPr>
              <w:t>。</w:t>
            </w:r>
          </w:p>
        </w:tc>
      </w:tr>
      <w:tr w14:paraId="4CFC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22E614B6">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6FB53F5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江  涛</w:t>
            </w:r>
          </w:p>
        </w:tc>
        <w:tc>
          <w:tcPr>
            <w:tcW w:w="1421" w:type="pct"/>
            <w:shd w:val="clear" w:color="auto" w:fill="auto"/>
            <w:vAlign w:val="center"/>
          </w:tcPr>
          <w:p w14:paraId="174ADEE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舟山甬舟集装箱码头有限公司</w:t>
            </w:r>
          </w:p>
        </w:tc>
        <w:tc>
          <w:tcPr>
            <w:tcW w:w="2427" w:type="pct"/>
            <w:shd w:val="clear" w:color="auto" w:fill="auto"/>
            <w:vAlign w:val="center"/>
          </w:tcPr>
          <w:p w14:paraId="2E56A4C7">
            <w:pPr>
              <w:keepNext w:val="0"/>
              <w:keepLines w:val="0"/>
              <w:widowControl/>
              <w:suppressLineNumbers w:val="0"/>
              <w:spacing w:before="0" w:beforeAutospacing="0" w:after="0" w:afterAutospacing="0"/>
              <w:ind w:left="0" w:right="0"/>
              <w:jc w:val="left"/>
              <w:rPr>
                <w:rFonts w:hint="default" w:ascii="Times New Roman" w:hAnsi="Times New Roman" w:cs="Times New Roman"/>
                <w:color w:val="000000"/>
                <w:kern w:val="0"/>
                <w:sz w:val="24"/>
                <w:szCs w:val="24"/>
                <w:lang w:bidi="ar"/>
              </w:rPr>
            </w:pPr>
            <w:r>
              <w:rPr>
                <w:rFonts w:hint="default" w:ascii="Times New Roman" w:hAnsi="Times New Roman" w:cs="Times New Roman"/>
                <w:color w:val="000000"/>
                <w:kern w:val="0"/>
                <w:sz w:val="24"/>
                <w:szCs w:val="24"/>
                <w:lang w:bidi="ar"/>
              </w:rPr>
              <w:t>协调组织调研和访谈交流，</w:t>
            </w:r>
            <w:r>
              <w:rPr>
                <w:rFonts w:hint="default" w:ascii="Times New Roman" w:hAnsi="Times New Roman" w:cs="Times New Roman"/>
                <w:bCs/>
                <w:sz w:val="24"/>
                <w:szCs w:val="24"/>
              </w:rPr>
              <w:t>参与调研、资料整理，参与相关技术研究</w:t>
            </w:r>
            <w:r>
              <w:rPr>
                <w:rFonts w:hint="default" w:ascii="Times New Roman" w:hAnsi="Times New Roman" w:cs="Times New Roman"/>
                <w:bCs/>
                <w:sz w:val="24"/>
                <w:szCs w:val="24"/>
                <w:lang w:eastAsia="zh-CN"/>
              </w:rPr>
              <w:t>，</w:t>
            </w:r>
            <w:r>
              <w:rPr>
                <w:rFonts w:hint="default" w:ascii="Times New Roman" w:hAnsi="Times New Roman" w:cs="Times New Roman"/>
                <w:bCs/>
                <w:sz w:val="24"/>
                <w:szCs w:val="24"/>
                <w:lang w:val="en-US" w:eastAsia="zh-CN"/>
              </w:rPr>
              <w:t>参与</w:t>
            </w:r>
            <w:r>
              <w:rPr>
                <w:rFonts w:hint="default" w:ascii="Times New Roman" w:hAnsi="Times New Roman" w:cs="Times New Roman"/>
                <w:color w:val="000000"/>
                <w:kern w:val="0"/>
                <w:sz w:val="24"/>
                <w:szCs w:val="24"/>
                <w:lang w:bidi="ar"/>
              </w:rPr>
              <w:t>第</w:t>
            </w:r>
            <w:r>
              <w:rPr>
                <w:rFonts w:hint="default" w:ascii="Times New Roman" w:hAnsi="Times New Roman" w:cs="Times New Roman"/>
                <w:color w:val="000000"/>
                <w:kern w:val="0"/>
                <w:sz w:val="24"/>
                <w:szCs w:val="24"/>
                <w:lang w:val="en-US" w:eastAsia="zh-CN" w:bidi="ar"/>
              </w:rPr>
              <w:t>4</w:t>
            </w:r>
            <w:r>
              <w:rPr>
                <w:rFonts w:hint="default" w:ascii="Times New Roman" w:hAnsi="Times New Roman" w:cs="Times New Roman"/>
                <w:color w:val="000000"/>
                <w:kern w:val="0"/>
                <w:sz w:val="24"/>
                <w:szCs w:val="24"/>
                <w:lang w:bidi="ar"/>
              </w:rPr>
              <w:t>章</w:t>
            </w:r>
            <w:r>
              <w:rPr>
                <w:rFonts w:hint="default" w:ascii="Times New Roman" w:hAnsi="Times New Roman" w:cs="Times New Roman"/>
                <w:color w:val="000000"/>
                <w:kern w:val="0"/>
                <w:sz w:val="24"/>
                <w:szCs w:val="24"/>
                <w:lang w:val="en-US" w:eastAsia="zh-CN" w:bidi="ar"/>
              </w:rPr>
              <w:t>编写</w:t>
            </w:r>
            <w:r>
              <w:rPr>
                <w:rFonts w:hint="default" w:ascii="Times New Roman" w:hAnsi="Times New Roman" w:cs="Times New Roman"/>
                <w:bCs/>
                <w:sz w:val="24"/>
                <w:szCs w:val="24"/>
              </w:rPr>
              <w:t>。</w:t>
            </w:r>
          </w:p>
        </w:tc>
      </w:tr>
      <w:tr w14:paraId="1844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04CD832C">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5B2DEDC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俞春江</w:t>
            </w:r>
          </w:p>
        </w:tc>
        <w:tc>
          <w:tcPr>
            <w:tcW w:w="1421" w:type="pct"/>
            <w:shd w:val="clear" w:color="auto" w:fill="auto"/>
            <w:vAlign w:val="center"/>
          </w:tcPr>
          <w:p w14:paraId="0C07A70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舟山甬舟集装箱码头有限公司</w:t>
            </w:r>
          </w:p>
        </w:tc>
        <w:tc>
          <w:tcPr>
            <w:tcW w:w="2427" w:type="pct"/>
            <w:shd w:val="clear" w:color="auto" w:fill="auto"/>
            <w:vAlign w:val="center"/>
          </w:tcPr>
          <w:p w14:paraId="1C9EEF04">
            <w:pPr>
              <w:keepNext w:val="0"/>
              <w:keepLines w:val="0"/>
              <w:widowControl/>
              <w:suppressLineNumbers w:val="0"/>
              <w:spacing w:before="0" w:beforeAutospacing="0" w:after="0" w:afterAutospacing="0"/>
              <w:ind w:left="0" w:right="0"/>
              <w:jc w:val="left"/>
              <w:rPr>
                <w:rFonts w:hint="default" w:ascii="Times New Roman" w:hAnsi="Times New Roman" w:cs="Times New Roman"/>
                <w:bCs/>
                <w:sz w:val="24"/>
                <w:szCs w:val="24"/>
              </w:rPr>
            </w:pPr>
            <w:r>
              <w:rPr>
                <w:rFonts w:hint="default" w:ascii="Times New Roman" w:hAnsi="Times New Roman" w:cs="Times New Roman"/>
                <w:color w:val="000000"/>
                <w:kern w:val="0"/>
                <w:sz w:val="24"/>
                <w:szCs w:val="24"/>
                <w:lang w:bidi="ar"/>
              </w:rPr>
              <w:t>负责标准文本的质量，</w:t>
            </w:r>
            <w:r>
              <w:rPr>
                <w:rFonts w:hint="default" w:ascii="Times New Roman" w:hAnsi="Times New Roman" w:cs="Times New Roman"/>
                <w:bCs/>
                <w:sz w:val="24"/>
                <w:szCs w:val="24"/>
              </w:rPr>
              <w:t>参与标准第</w:t>
            </w:r>
            <w:r>
              <w:rPr>
                <w:rFonts w:hint="default" w:ascii="Times New Roman" w:hAnsi="Times New Roman" w:cs="Times New Roman"/>
                <w:bCs/>
                <w:sz w:val="24"/>
                <w:szCs w:val="24"/>
                <w:lang w:val="en-US" w:eastAsia="zh-CN"/>
              </w:rPr>
              <w:t>5/6</w:t>
            </w:r>
            <w:r>
              <w:rPr>
                <w:rFonts w:hint="default" w:ascii="Times New Roman" w:hAnsi="Times New Roman" w:cs="Times New Roman"/>
                <w:bCs/>
                <w:sz w:val="24"/>
                <w:szCs w:val="24"/>
              </w:rPr>
              <w:t>章编写</w:t>
            </w:r>
            <w:r>
              <w:rPr>
                <w:rFonts w:hint="default" w:ascii="Times New Roman" w:hAnsi="Times New Roman" w:cs="Times New Roman"/>
                <w:color w:val="000000"/>
                <w:kern w:val="0"/>
                <w:sz w:val="24"/>
                <w:szCs w:val="24"/>
                <w:lang w:bidi="ar"/>
              </w:rPr>
              <w:t>。</w:t>
            </w:r>
          </w:p>
        </w:tc>
      </w:tr>
      <w:tr w14:paraId="60CB4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0986B3C1">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0FAABB1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崔  云</w:t>
            </w:r>
          </w:p>
        </w:tc>
        <w:tc>
          <w:tcPr>
            <w:tcW w:w="1421" w:type="pct"/>
            <w:shd w:val="clear" w:color="auto" w:fill="auto"/>
            <w:vAlign w:val="center"/>
          </w:tcPr>
          <w:p w14:paraId="23D95D1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浙江省海港投资运营集团有限公司</w:t>
            </w:r>
          </w:p>
        </w:tc>
        <w:tc>
          <w:tcPr>
            <w:tcW w:w="2427" w:type="pct"/>
            <w:shd w:val="clear" w:color="auto" w:fill="auto"/>
            <w:vAlign w:val="center"/>
          </w:tcPr>
          <w:p w14:paraId="64D52A79">
            <w:pPr>
              <w:keepNext w:val="0"/>
              <w:keepLines w:val="0"/>
              <w:suppressLineNumbers w:val="0"/>
              <w:tabs>
                <w:tab w:val="left" w:pos="3544"/>
              </w:tabs>
              <w:spacing w:before="0" w:beforeAutospacing="0" w:after="0" w:afterAutospacing="0"/>
              <w:ind w:left="0" w:right="105" w:rightChars="50"/>
              <w:jc w:val="left"/>
              <w:rPr>
                <w:rFonts w:hint="default" w:ascii="Times New Roman" w:hAnsi="Times New Roman" w:cs="Times New Roman"/>
                <w:bCs/>
                <w:sz w:val="24"/>
                <w:szCs w:val="24"/>
              </w:rPr>
            </w:pPr>
            <w:r>
              <w:rPr>
                <w:rFonts w:hint="default" w:ascii="Times New Roman" w:hAnsi="Times New Roman" w:cs="Times New Roman"/>
                <w:bCs/>
                <w:sz w:val="24"/>
                <w:szCs w:val="24"/>
              </w:rPr>
              <w:t>参与调研、资料整理，参与相关技术研究，主要参与标准附录编写。</w:t>
            </w:r>
          </w:p>
        </w:tc>
      </w:tr>
      <w:tr w14:paraId="0BD9E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72339414">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3FC4AF2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bidi="ar"/>
              </w:rPr>
              <w:t>李</w:t>
            </w:r>
            <w:r>
              <w:rPr>
                <w:rFonts w:hint="default"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bidi="ar"/>
              </w:rPr>
              <w:t>耀</w:t>
            </w:r>
          </w:p>
        </w:tc>
        <w:tc>
          <w:tcPr>
            <w:tcW w:w="1421" w:type="pct"/>
            <w:shd w:val="clear" w:color="auto" w:fill="auto"/>
            <w:vAlign w:val="center"/>
          </w:tcPr>
          <w:p w14:paraId="7780A74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bidi="ar"/>
              </w:rPr>
              <w:t>舟山甬舟集装箱码头有限公司</w:t>
            </w:r>
          </w:p>
        </w:tc>
        <w:tc>
          <w:tcPr>
            <w:tcW w:w="2427" w:type="pct"/>
            <w:shd w:val="clear" w:color="auto" w:fill="auto"/>
            <w:vAlign w:val="center"/>
          </w:tcPr>
          <w:p w14:paraId="1D9F85BA">
            <w:pPr>
              <w:keepNext w:val="0"/>
              <w:keepLines w:val="0"/>
              <w:suppressLineNumbers w:val="0"/>
              <w:tabs>
                <w:tab w:val="left" w:pos="3544"/>
              </w:tabs>
              <w:spacing w:before="0" w:beforeAutospacing="0" w:after="0" w:afterAutospacing="0"/>
              <w:ind w:left="0" w:right="105" w:rightChars="50"/>
              <w:jc w:val="left"/>
              <w:rPr>
                <w:rFonts w:hint="default" w:ascii="Times New Roman" w:hAnsi="Times New Roman" w:cs="Times New Roman"/>
                <w:bCs/>
                <w:sz w:val="24"/>
                <w:szCs w:val="24"/>
              </w:rPr>
            </w:pPr>
            <w:r>
              <w:rPr>
                <w:rFonts w:hint="default" w:ascii="Times New Roman" w:hAnsi="Times New Roman" w:cs="Times New Roman"/>
                <w:bCs/>
                <w:sz w:val="24"/>
                <w:szCs w:val="24"/>
              </w:rPr>
              <w:t>参与调研、资料整理，参与相关技术研究，参与</w:t>
            </w:r>
            <w:r>
              <w:rPr>
                <w:rFonts w:hint="default" w:ascii="Times New Roman" w:hAnsi="Times New Roman" w:cs="Times New Roman"/>
                <w:bCs/>
                <w:sz w:val="24"/>
                <w:szCs w:val="24"/>
                <w:lang w:eastAsia="zh-CN"/>
              </w:rPr>
              <w:t>标准</w:t>
            </w:r>
            <w:r>
              <w:rPr>
                <w:rFonts w:hint="default" w:ascii="Times New Roman" w:hAnsi="Times New Roman" w:cs="Times New Roman"/>
                <w:bCs/>
                <w:sz w:val="24"/>
                <w:szCs w:val="24"/>
                <w:lang w:val="en-US" w:eastAsia="zh-CN"/>
              </w:rPr>
              <w:t>第5章</w:t>
            </w:r>
            <w:r>
              <w:rPr>
                <w:rFonts w:hint="default" w:ascii="Times New Roman" w:hAnsi="Times New Roman" w:cs="Times New Roman"/>
                <w:bCs/>
                <w:sz w:val="24"/>
                <w:szCs w:val="24"/>
              </w:rPr>
              <w:t>编写。</w:t>
            </w:r>
          </w:p>
        </w:tc>
      </w:tr>
      <w:tr w14:paraId="50E43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415EEE69">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71ED0B3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胡卓彦</w:t>
            </w:r>
          </w:p>
        </w:tc>
        <w:tc>
          <w:tcPr>
            <w:tcW w:w="1421" w:type="pct"/>
            <w:shd w:val="clear" w:color="auto" w:fill="auto"/>
            <w:vAlign w:val="center"/>
          </w:tcPr>
          <w:p w14:paraId="2DD4D58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舟山甬舟集装箱码头有限公司</w:t>
            </w:r>
          </w:p>
        </w:tc>
        <w:tc>
          <w:tcPr>
            <w:tcW w:w="2427" w:type="pct"/>
            <w:shd w:val="clear" w:color="auto" w:fill="auto"/>
            <w:vAlign w:val="center"/>
          </w:tcPr>
          <w:p w14:paraId="590FDED3">
            <w:pPr>
              <w:keepNext w:val="0"/>
              <w:keepLines w:val="0"/>
              <w:suppressLineNumbers w:val="0"/>
              <w:tabs>
                <w:tab w:val="left" w:pos="3544"/>
              </w:tabs>
              <w:spacing w:before="0" w:beforeAutospacing="0" w:after="0" w:afterAutospacing="0"/>
              <w:ind w:left="0" w:right="105" w:rightChars="50"/>
              <w:jc w:val="left"/>
              <w:rPr>
                <w:rFonts w:hint="default" w:ascii="Times New Roman" w:hAnsi="Times New Roman" w:eastAsia="宋体" w:cs="Times New Roman"/>
                <w:bCs/>
                <w:kern w:val="2"/>
                <w:sz w:val="24"/>
                <w:szCs w:val="24"/>
                <w:lang w:val="en-US" w:eastAsia="zh-CN" w:bidi="ar-SA"/>
              </w:rPr>
            </w:pPr>
            <w:r>
              <w:rPr>
                <w:rFonts w:hint="default" w:ascii="Times New Roman" w:hAnsi="Times New Roman" w:cs="Times New Roman"/>
                <w:bCs/>
                <w:sz w:val="24"/>
                <w:szCs w:val="24"/>
              </w:rPr>
              <w:t>参与调研、资料整理，参与相关技术研究，</w:t>
            </w:r>
            <w:r>
              <w:rPr>
                <w:rFonts w:hint="default" w:ascii="Times New Roman" w:hAnsi="Times New Roman" w:cs="Times New Roman"/>
                <w:bCs/>
                <w:sz w:val="24"/>
                <w:szCs w:val="24"/>
                <w:lang w:val="en-US" w:eastAsia="zh-CN"/>
              </w:rPr>
              <w:t>负责</w:t>
            </w:r>
            <w:r>
              <w:rPr>
                <w:rFonts w:hint="default" w:ascii="Times New Roman" w:hAnsi="Times New Roman" w:cs="Times New Roman"/>
                <w:bCs/>
                <w:sz w:val="24"/>
                <w:szCs w:val="24"/>
              </w:rPr>
              <w:t>标准</w:t>
            </w:r>
            <w:r>
              <w:rPr>
                <w:rFonts w:hint="default" w:ascii="Times New Roman" w:hAnsi="Times New Roman" w:cs="Times New Roman"/>
                <w:bCs/>
                <w:sz w:val="24"/>
                <w:szCs w:val="24"/>
                <w:lang w:val="en-US" w:eastAsia="zh-CN"/>
              </w:rPr>
              <w:t>第7章</w:t>
            </w:r>
            <w:r>
              <w:rPr>
                <w:rFonts w:hint="default" w:ascii="Times New Roman" w:hAnsi="Times New Roman" w:cs="Times New Roman"/>
                <w:bCs/>
                <w:sz w:val="24"/>
                <w:szCs w:val="24"/>
              </w:rPr>
              <w:t>编写。</w:t>
            </w:r>
          </w:p>
        </w:tc>
      </w:tr>
      <w:tr w14:paraId="5136F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5DE511BE">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37E6803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朱甬翔</w:t>
            </w:r>
          </w:p>
        </w:tc>
        <w:tc>
          <w:tcPr>
            <w:tcW w:w="1421" w:type="pct"/>
            <w:shd w:val="clear" w:color="auto" w:fill="auto"/>
            <w:vAlign w:val="center"/>
          </w:tcPr>
          <w:p w14:paraId="20D2725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浙江智港通科技有限公司</w:t>
            </w:r>
          </w:p>
        </w:tc>
        <w:tc>
          <w:tcPr>
            <w:tcW w:w="2427" w:type="pct"/>
            <w:shd w:val="clear" w:color="auto" w:fill="auto"/>
            <w:vAlign w:val="center"/>
          </w:tcPr>
          <w:p w14:paraId="44782BD9">
            <w:pPr>
              <w:keepNext w:val="0"/>
              <w:keepLines w:val="0"/>
              <w:suppressLineNumbers w:val="0"/>
              <w:tabs>
                <w:tab w:val="left" w:pos="3544"/>
              </w:tabs>
              <w:spacing w:before="0" w:beforeAutospacing="0" w:after="0" w:afterAutospacing="0"/>
              <w:ind w:left="0" w:right="105" w:rightChars="50"/>
              <w:jc w:val="left"/>
              <w:rPr>
                <w:rFonts w:hint="default" w:ascii="Times New Roman" w:hAnsi="Times New Roman" w:cs="Times New Roman"/>
                <w:bCs/>
                <w:sz w:val="24"/>
                <w:szCs w:val="24"/>
              </w:rPr>
            </w:pPr>
            <w:r>
              <w:rPr>
                <w:rFonts w:hint="default" w:ascii="Times New Roman" w:hAnsi="Times New Roman" w:cs="Times New Roman"/>
                <w:bCs/>
                <w:sz w:val="24"/>
                <w:szCs w:val="24"/>
              </w:rPr>
              <w:t>参与调研、资料整理，参与相关技术研究，</w:t>
            </w:r>
            <w:r>
              <w:rPr>
                <w:rFonts w:hint="default" w:ascii="Times New Roman" w:hAnsi="Times New Roman" w:cs="Times New Roman"/>
                <w:bCs/>
                <w:sz w:val="24"/>
                <w:szCs w:val="24"/>
                <w:lang w:val="en-US" w:eastAsia="zh-CN"/>
              </w:rPr>
              <w:t>参与</w:t>
            </w:r>
            <w:r>
              <w:rPr>
                <w:rFonts w:hint="default" w:ascii="Times New Roman" w:hAnsi="Times New Roman" w:cs="Times New Roman"/>
                <w:bCs/>
                <w:sz w:val="24"/>
                <w:szCs w:val="24"/>
              </w:rPr>
              <w:t>标准</w:t>
            </w:r>
            <w:r>
              <w:rPr>
                <w:rFonts w:hint="default" w:ascii="Times New Roman" w:hAnsi="Times New Roman" w:cs="Times New Roman"/>
                <w:bCs/>
                <w:sz w:val="24"/>
                <w:szCs w:val="24"/>
                <w:lang w:val="en-US" w:eastAsia="zh-CN"/>
              </w:rPr>
              <w:t>第7章</w:t>
            </w:r>
            <w:r>
              <w:rPr>
                <w:rFonts w:hint="default" w:ascii="Times New Roman" w:hAnsi="Times New Roman" w:cs="Times New Roman"/>
                <w:bCs/>
                <w:sz w:val="24"/>
                <w:szCs w:val="24"/>
              </w:rPr>
              <w:t>编写。</w:t>
            </w:r>
          </w:p>
        </w:tc>
      </w:tr>
      <w:tr w14:paraId="42892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4438D1F8">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52DBEF2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虞  梁</w:t>
            </w:r>
          </w:p>
        </w:tc>
        <w:tc>
          <w:tcPr>
            <w:tcW w:w="1421" w:type="pct"/>
            <w:shd w:val="clear" w:color="auto" w:fill="auto"/>
            <w:vAlign w:val="center"/>
          </w:tcPr>
          <w:p w14:paraId="5A71D59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浙江智港通科技有限公司</w:t>
            </w:r>
          </w:p>
        </w:tc>
        <w:tc>
          <w:tcPr>
            <w:tcW w:w="2427" w:type="pct"/>
            <w:shd w:val="clear" w:color="auto" w:fill="auto"/>
            <w:vAlign w:val="center"/>
          </w:tcPr>
          <w:p w14:paraId="5C1C3E26">
            <w:pPr>
              <w:keepNext w:val="0"/>
              <w:keepLines w:val="0"/>
              <w:suppressLineNumbers w:val="0"/>
              <w:tabs>
                <w:tab w:val="left" w:pos="3544"/>
              </w:tabs>
              <w:spacing w:before="0" w:beforeAutospacing="0" w:after="0" w:afterAutospacing="0"/>
              <w:ind w:left="0" w:right="105" w:rightChars="50"/>
              <w:jc w:val="left"/>
              <w:rPr>
                <w:rFonts w:hint="default" w:ascii="Times New Roman" w:hAnsi="Times New Roman" w:cs="Times New Roman"/>
                <w:bCs/>
                <w:sz w:val="24"/>
                <w:szCs w:val="24"/>
              </w:rPr>
            </w:pPr>
            <w:r>
              <w:rPr>
                <w:rFonts w:hint="default" w:ascii="Times New Roman" w:hAnsi="Times New Roman" w:cs="Times New Roman"/>
                <w:bCs/>
                <w:sz w:val="24"/>
                <w:szCs w:val="24"/>
              </w:rPr>
              <w:t>参与调研、资料整理，参与相关技术研究，</w:t>
            </w:r>
            <w:r>
              <w:rPr>
                <w:rFonts w:hint="default" w:ascii="Times New Roman" w:hAnsi="Times New Roman" w:cs="Times New Roman"/>
                <w:bCs/>
                <w:sz w:val="24"/>
                <w:szCs w:val="24"/>
                <w:lang w:val="en-US" w:eastAsia="zh-CN"/>
              </w:rPr>
              <w:t>参与</w:t>
            </w:r>
            <w:r>
              <w:rPr>
                <w:rFonts w:hint="default" w:ascii="Times New Roman" w:hAnsi="Times New Roman" w:cs="Times New Roman"/>
                <w:bCs/>
                <w:sz w:val="24"/>
                <w:szCs w:val="24"/>
                <w:lang w:eastAsia="zh-CN"/>
              </w:rPr>
              <w:t>标准附录</w:t>
            </w:r>
            <w:r>
              <w:rPr>
                <w:rFonts w:hint="default" w:ascii="Times New Roman" w:hAnsi="Times New Roman" w:cs="Times New Roman"/>
                <w:bCs/>
                <w:sz w:val="24"/>
                <w:szCs w:val="24"/>
              </w:rPr>
              <w:t>编写。</w:t>
            </w:r>
          </w:p>
        </w:tc>
      </w:tr>
      <w:tr w14:paraId="09086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221FF9F7">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3FC5408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bidi="ar"/>
              </w:rPr>
              <w:t>周国强</w:t>
            </w:r>
          </w:p>
        </w:tc>
        <w:tc>
          <w:tcPr>
            <w:tcW w:w="1421" w:type="pct"/>
            <w:shd w:val="clear" w:color="auto" w:fill="auto"/>
            <w:vAlign w:val="center"/>
          </w:tcPr>
          <w:p w14:paraId="0D48BBE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bidi="ar"/>
              </w:rPr>
              <w:t>交通运输部规划研究院</w:t>
            </w:r>
          </w:p>
        </w:tc>
        <w:tc>
          <w:tcPr>
            <w:tcW w:w="2427" w:type="pct"/>
            <w:shd w:val="clear" w:color="auto" w:fill="auto"/>
            <w:vAlign w:val="center"/>
          </w:tcPr>
          <w:p w14:paraId="3A5C7BDC">
            <w:pPr>
              <w:keepNext w:val="0"/>
              <w:keepLines w:val="0"/>
              <w:suppressLineNumbers w:val="0"/>
              <w:tabs>
                <w:tab w:val="left" w:pos="3544"/>
              </w:tabs>
              <w:spacing w:before="0" w:beforeAutospacing="0" w:after="0" w:afterAutospacing="0"/>
              <w:ind w:left="0" w:right="105" w:rightChars="50"/>
              <w:jc w:val="left"/>
              <w:rPr>
                <w:rFonts w:hint="default" w:ascii="Times New Roman" w:hAnsi="Times New Roman" w:eastAsia="宋体" w:cs="Times New Roman"/>
                <w:bCs/>
                <w:kern w:val="2"/>
                <w:sz w:val="24"/>
                <w:szCs w:val="24"/>
                <w:lang w:val="en-US" w:eastAsia="zh-CN" w:bidi="ar-SA"/>
              </w:rPr>
            </w:pPr>
            <w:r>
              <w:rPr>
                <w:rFonts w:hint="default" w:ascii="Times New Roman" w:hAnsi="Times New Roman" w:cs="Times New Roman"/>
                <w:bCs/>
                <w:sz w:val="24"/>
                <w:szCs w:val="24"/>
              </w:rPr>
              <w:t>参与调研、资料整理</w:t>
            </w:r>
            <w:r>
              <w:rPr>
                <w:rFonts w:hint="default" w:ascii="Times New Roman" w:hAnsi="Times New Roman" w:cs="Times New Roman"/>
                <w:bCs/>
                <w:sz w:val="24"/>
                <w:szCs w:val="24"/>
                <w:lang w:eastAsia="zh-CN"/>
              </w:rPr>
              <w:t>、</w:t>
            </w:r>
            <w:r>
              <w:rPr>
                <w:rFonts w:hint="default" w:ascii="Times New Roman" w:hAnsi="Times New Roman" w:cs="Times New Roman"/>
                <w:bCs/>
                <w:sz w:val="24"/>
                <w:szCs w:val="24"/>
                <w:lang w:val="en-US" w:eastAsia="zh-CN"/>
              </w:rPr>
              <w:t>文本校对</w:t>
            </w:r>
            <w:r>
              <w:rPr>
                <w:rFonts w:hint="default" w:ascii="Times New Roman" w:hAnsi="Times New Roman" w:cs="Times New Roman"/>
                <w:bCs/>
                <w:sz w:val="24"/>
                <w:szCs w:val="24"/>
              </w:rPr>
              <w:t>，参与相关技术研究，</w:t>
            </w:r>
            <w:r>
              <w:rPr>
                <w:rFonts w:hint="default" w:ascii="Times New Roman" w:hAnsi="Times New Roman" w:cs="Times New Roman"/>
                <w:bCs/>
                <w:sz w:val="24"/>
                <w:szCs w:val="24"/>
                <w:lang w:val="en-US" w:eastAsia="zh-CN"/>
              </w:rPr>
              <w:t>负责</w:t>
            </w:r>
            <w:r>
              <w:rPr>
                <w:rFonts w:hint="default" w:ascii="Times New Roman" w:hAnsi="Times New Roman" w:cs="Times New Roman"/>
                <w:bCs/>
                <w:sz w:val="24"/>
                <w:szCs w:val="24"/>
              </w:rPr>
              <w:t>标准第</w:t>
            </w:r>
            <w:r>
              <w:rPr>
                <w:rFonts w:hint="default" w:ascii="Times New Roman" w:hAnsi="Times New Roman" w:cs="Times New Roman"/>
                <w:bCs/>
                <w:sz w:val="24"/>
                <w:szCs w:val="24"/>
                <w:lang w:val="en-US" w:eastAsia="zh-CN"/>
              </w:rPr>
              <w:t>1</w:t>
            </w:r>
            <w:r>
              <w:rPr>
                <w:rFonts w:hint="default" w:ascii="Times New Roman" w:hAnsi="Times New Roman" w:cs="Times New Roman"/>
                <w:bCs/>
                <w:sz w:val="24"/>
                <w:szCs w:val="24"/>
              </w:rPr>
              <w:t>～</w:t>
            </w:r>
            <w:r>
              <w:rPr>
                <w:rFonts w:hint="default" w:ascii="Times New Roman" w:hAnsi="Times New Roman" w:cs="Times New Roman"/>
                <w:bCs/>
                <w:sz w:val="24"/>
                <w:szCs w:val="24"/>
                <w:lang w:val="en-US" w:eastAsia="zh-CN"/>
              </w:rPr>
              <w:t>3</w:t>
            </w:r>
            <w:r>
              <w:rPr>
                <w:rFonts w:hint="default" w:ascii="Times New Roman" w:hAnsi="Times New Roman" w:cs="Times New Roman"/>
                <w:bCs/>
                <w:sz w:val="24"/>
                <w:szCs w:val="24"/>
              </w:rPr>
              <w:t>章编写。</w:t>
            </w:r>
          </w:p>
        </w:tc>
      </w:tr>
      <w:tr w14:paraId="7A1C8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4" w:type="pct"/>
            <w:shd w:val="clear" w:color="auto" w:fill="auto"/>
            <w:vAlign w:val="center"/>
          </w:tcPr>
          <w:p w14:paraId="227AB5F8">
            <w:pPr>
              <w:keepNext w:val="0"/>
              <w:keepLines w:val="0"/>
              <w:numPr>
                <w:ilvl w:val="0"/>
                <w:numId w:val="2"/>
              </w:numPr>
              <w:suppressLineNumbers w:val="0"/>
              <w:tabs>
                <w:tab w:val="left" w:pos="3544"/>
              </w:tabs>
              <w:spacing w:before="0" w:beforeAutospacing="0" w:after="0" w:afterAutospacing="0"/>
              <w:ind w:right="105" w:rightChars="50"/>
              <w:jc w:val="center"/>
              <w:rPr>
                <w:rFonts w:hint="default" w:ascii="Times New Roman" w:hAnsi="Times New Roman" w:cs="Times New Roman"/>
                <w:bCs/>
                <w:sz w:val="24"/>
                <w:szCs w:val="24"/>
              </w:rPr>
            </w:pPr>
          </w:p>
        </w:tc>
        <w:tc>
          <w:tcPr>
            <w:tcW w:w="836" w:type="pct"/>
            <w:shd w:val="clear" w:color="auto" w:fill="auto"/>
            <w:vAlign w:val="center"/>
          </w:tcPr>
          <w:p w14:paraId="58A3A1B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李佳盛</w:t>
            </w:r>
          </w:p>
        </w:tc>
        <w:tc>
          <w:tcPr>
            <w:tcW w:w="1421" w:type="pct"/>
            <w:shd w:val="clear" w:color="auto" w:fill="auto"/>
            <w:vAlign w:val="center"/>
          </w:tcPr>
          <w:p w14:paraId="187FD348">
            <w:pPr>
              <w:keepNext w:val="0"/>
              <w:keepLines w:val="0"/>
              <w:suppressLineNumbers w:val="0"/>
              <w:spacing w:before="0" w:beforeAutospacing="0" w:after="0" w:afterAutospacing="0"/>
              <w:ind w:left="0" w:right="0"/>
              <w:jc w:val="center"/>
              <w:rPr>
                <w:rFonts w:hint="default" w:ascii="Times New Roman" w:hAnsi="Times New Roman" w:eastAsia="宋体" w:cs="Times New Roman"/>
                <w:bCs/>
                <w:kern w:val="2"/>
                <w:sz w:val="24"/>
                <w:szCs w:val="24"/>
                <w:lang w:val="en-US" w:eastAsia="zh-CN" w:bidi="ar-SA"/>
              </w:rPr>
            </w:pPr>
            <w:r>
              <w:rPr>
                <w:rFonts w:hint="default" w:ascii="Times New Roman" w:hAnsi="Times New Roman" w:cs="Times New Roman"/>
                <w:sz w:val="24"/>
                <w:szCs w:val="24"/>
              </w:rPr>
              <w:t>交通运输部规划研究院</w:t>
            </w:r>
          </w:p>
        </w:tc>
        <w:tc>
          <w:tcPr>
            <w:tcW w:w="2427" w:type="pct"/>
            <w:shd w:val="clear" w:color="auto" w:fill="auto"/>
            <w:vAlign w:val="center"/>
          </w:tcPr>
          <w:p w14:paraId="7AD936E9">
            <w:pPr>
              <w:keepNext w:val="0"/>
              <w:keepLines w:val="0"/>
              <w:suppressLineNumbers w:val="0"/>
              <w:tabs>
                <w:tab w:val="left" w:pos="3544"/>
              </w:tabs>
              <w:spacing w:before="0" w:beforeAutospacing="0" w:after="0" w:afterAutospacing="0"/>
              <w:ind w:left="0" w:right="105" w:rightChars="50"/>
              <w:jc w:val="left"/>
              <w:rPr>
                <w:rFonts w:hint="default" w:ascii="Times New Roman" w:hAnsi="Times New Roman" w:eastAsia="宋体" w:cs="Times New Roman"/>
                <w:bCs/>
                <w:kern w:val="2"/>
                <w:sz w:val="24"/>
                <w:szCs w:val="24"/>
                <w:lang w:val="en-US" w:eastAsia="zh-CN" w:bidi="ar-SA"/>
              </w:rPr>
            </w:pPr>
            <w:r>
              <w:rPr>
                <w:rFonts w:hint="default" w:ascii="Times New Roman" w:hAnsi="Times New Roman" w:cs="Times New Roman"/>
                <w:bCs/>
                <w:sz w:val="24"/>
                <w:szCs w:val="24"/>
              </w:rPr>
              <w:t>参与调研、资料整理</w:t>
            </w:r>
            <w:r>
              <w:rPr>
                <w:rFonts w:hint="default" w:ascii="Times New Roman" w:hAnsi="Times New Roman" w:cs="Times New Roman"/>
                <w:bCs/>
                <w:sz w:val="24"/>
                <w:szCs w:val="24"/>
                <w:lang w:eastAsia="zh-CN"/>
              </w:rPr>
              <w:t>、</w:t>
            </w:r>
            <w:r>
              <w:rPr>
                <w:rFonts w:hint="default" w:ascii="Times New Roman" w:hAnsi="Times New Roman" w:cs="Times New Roman"/>
                <w:bCs/>
                <w:sz w:val="24"/>
                <w:szCs w:val="24"/>
                <w:lang w:val="en-US" w:eastAsia="zh-CN"/>
              </w:rPr>
              <w:t>文本校对</w:t>
            </w:r>
            <w:r>
              <w:rPr>
                <w:rFonts w:hint="default" w:ascii="Times New Roman" w:hAnsi="Times New Roman" w:cs="Times New Roman"/>
                <w:bCs/>
                <w:sz w:val="24"/>
                <w:szCs w:val="24"/>
              </w:rPr>
              <w:t>，参与相关技术研究，参与标准第</w:t>
            </w:r>
            <w:r>
              <w:rPr>
                <w:rFonts w:hint="default" w:ascii="Times New Roman" w:hAnsi="Times New Roman" w:cs="Times New Roman"/>
                <w:bCs/>
                <w:sz w:val="24"/>
                <w:szCs w:val="24"/>
                <w:lang w:val="en-US" w:eastAsia="zh-CN"/>
              </w:rPr>
              <w:t>1</w:t>
            </w:r>
            <w:r>
              <w:rPr>
                <w:rFonts w:hint="default" w:ascii="Times New Roman" w:hAnsi="Times New Roman" w:cs="Times New Roman"/>
                <w:bCs/>
                <w:sz w:val="24"/>
                <w:szCs w:val="24"/>
              </w:rPr>
              <w:t>～</w:t>
            </w:r>
            <w:r>
              <w:rPr>
                <w:rFonts w:hint="default" w:ascii="Times New Roman" w:hAnsi="Times New Roman" w:cs="Times New Roman"/>
                <w:bCs/>
                <w:sz w:val="24"/>
                <w:szCs w:val="24"/>
                <w:lang w:val="en-US" w:eastAsia="zh-CN"/>
              </w:rPr>
              <w:t>3</w:t>
            </w:r>
            <w:r>
              <w:rPr>
                <w:rFonts w:hint="default" w:ascii="Times New Roman" w:hAnsi="Times New Roman" w:cs="Times New Roman"/>
                <w:bCs/>
                <w:sz w:val="24"/>
                <w:szCs w:val="24"/>
              </w:rPr>
              <w:t>章编写。</w:t>
            </w:r>
          </w:p>
        </w:tc>
      </w:tr>
    </w:tbl>
    <w:p w14:paraId="2C0A42A9">
      <w:pPr>
        <w:spacing w:line="360" w:lineRule="auto"/>
        <w:ind w:firstLine="480" w:firstLineChars="200"/>
        <w:rPr>
          <w:rFonts w:hint="default" w:ascii="Times New Roman" w:hAnsi="Times New Roman" w:cs="Times New Roman"/>
          <w:sz w:val="24"/>
        </w:rPr>
      </w:pPr>
    </w:p>
    <w:p w14:paraId="3E33D726">
      <w:pPr>
        <w:pStyle w:val="4"/>
        <w:spacing w:before="0" w:after="0" w:line="360" w:lineRule="auto"/>
        <w:ind w:firstLine="562" w:firstLineChars="200"/>
        <w:rPr>
          <w:rFonts w:hint="default" w:ascii="Times New Roman" w:hAnsi="Times New Roman" w:eastAsia="宋体" w:cs="Times New Roman"/>
          <w:b w:val="0"/>
          <w:sz w:val="28"/>
          <w:szCs w:val="28"/>
          <w:lang w:val="en-US" w:eastAsia="zh-CN"/>
        </w:rPr>
      </w:pPr>
      <w:bookmarkStart w:id="5" w:name="_Toc9597"/>
      <w:bookmarkStart w:id="6" w:name="_Toc161044371"/>
      <w:r>
        <w:rPr>
          <w:rFonts w:hint="default" w:ascii="Times New Roman" w:hAnsi="Times New Roman" w:cs="Times New Roman"/>
          <w:bCs w:val="0"/>
          <w:kern w:val="2"/>
          <w:sz w:val="28"/>
          <w:szCs w:val="28"/>
        </w:rPr>
        <w:t>二、标准编制原则和确定标准主要内容的</w:t>
      </w:r>
      <w:bookmarkEnd w:id="5"/>
      <w:bookmarkEnd w:id="6"/>
      <w:r>
        <w:rPr>
          <w:rFonts w:hint="default" w:ascii="Times New Roman" w:hAnsi="Times New Roman" w:cs="Times New Roman"/>
          <w:bCs w:val="0"/>
          <w:kern w:val="2"/>
          <w:sz w:val="28"/>
          <w:szCs w:val="28"/>
          <w:lang w:val="en-US" w:eastAsia="zh-CN"/>
        </w:rPr>
        <w:t>论据</w:t>
      </w:r>
    </w:p>
    <w:p w14:paraId="65D19CAD">
      <w:pPr>
        <w:tabs>
          <w:tab w:val="left" w:pos="3544"/>
        </w:tabs>
        <w:spacing w:line="360" w:lineRule="auto"/>
        <w:ind w:firstLine="562" w:firstLineChars="200"/>
        <w:outlineLvl w:val="1"/>
        <w:rPr>
          <w:rFonts w:hint="default" w:ascii="Times New Roman" w:hAnsi="Times New Roman" w:cs="Times New Roman"/>
          <w:b/>
          <w:sz w:val="28"/>
          <w:szCs w:val="28"/>
        </w:rPr>
      </w:pPr>
      <w:r>
        <w:rPr>
          <w:rFonts w:hint="default" w:ascii="Times New Roman" w:hAnsi="Times New Roman" w:cs="Times New Roman"/>
          <w:b/>
          <w:sz w:val="28"/>
          <w:szCs w:val="28"/>
        </w:rPr>
        <w:t>（一）标准编制原则</w:t>
      </w:r>
    </w:p>
    <w:p w14:paraId="042F6A26">
      <w:pPr>
        <w:pStyle w:val="31"/>
        <w:ind w:firstLine="562" w:firstLineChars="200"/>
        <w:outlineLvl w:val="2"/>
        <w:rPr>
          <w:rFonts w:hint="default" w:ascii="Times New Roman" w:hAnsi="Times New Roman" w:eastAsia="宋体" w:cs="Times New Roman"/>
          <w:b/>
          <w:sz w:val="28"/>
          <w:szCs w:val="28"/>
        </w:rPr>
      </w:pPr>
      <w:r>
        <w:rPr>
          <w:rFonts w:hint="default" w:ascii="Times New Roman" w:hAnsi="Times New Roman" w:eastAsia="宋体" w:cs="Times New Roman"/>
          <w:b/>
          <w:sz w:val="28"/>
          <w:szCs w:val="28"/>
          <w:lang w:val="en-US" w:eastAsia="zh-CN"/>
        </w:rPr>
        <w:t>1.</w:t>
      </w:r>
      <w:r>
        <w:rPr>
          <w:rFonts w:hint="default" w:ascii="Times New Roman" w:hAnsi="Times New Roman" w:eastAsia="宋体" w:cs="Times New Roman"/>
          <w:b/>
          <w:sz w:val="28"/>
          <w:szCs w:val="28"/>
        </w:rPr>
        <w:t>规范性原则</w:t>
      </w:r>
    </w:p>
    <w:p w14:paraId="1F52CD66">
      <w:pPr>
        <w:pStyle w:val="31"/>
        <w:ind w:firstLine="480"/>
        <w:rPr>
          <w:rFonts w:hint="default" w:ascii="Times New Roman" w:hAnsi="Times New Roman" w:cs="Times New Roman"/>
          <w:kern w:val="2"/>
          <w:sz w:val="28"/>
          <w:szCs w:val="28"/>
        </w:rPr>
      </w:pPr>
      <w:r>
        <w:rPr>
          <w:rFonts w:hint="default" w:ascii="Times New Roman" w:hAnsi="Times New Roman" w:cs="Times New Roman"/>
          <w:kern w:val="2"/>
          <w:sz w:val="28"/>
          <w:szCs w:val="28"/>
        </w:rPr>
        <w:t>本标准根据《中华人民共和国标准化法》及相关法律、规章，按照GB/T1.1—2020《标准化工作导则第1 部分：标准化文件的结构和起草规则》中的原则要求进行的编制，并参考了单位、符号、用语的相关标准以及中国港口协会团体标准相关要求，保障了标准文本编写的规范性。</w:t>
      </w:r>
    </w:p>
    <w:p w14:paraId="7A8FA494">
      <w:pPr>
        <w:pStyle w:val="31"/>
        <w:ind w:firstLine="562" w:firstLineChars="200"/>
        <w:outlineLvl w:val="2"/>
        <w:rPr>
          <w:rFonts w:hint="default" w:ascii="Times New Roman" w:hAnsi="Times New Roman" w:eastAsia="宋体" w:cs="Times New Roman"/>
          <w:b/>
          <w:sz w:val="28"/>
          <w:szCs w:val="28"/>
          <w:lang w:val="en-US" w:eastAsia="zh-CN"/>
        </w:rPr>
      </w:pPr>
      <w:r>
        <w:rPr>
          <w:rFonts w:hint="default" w:ascii="Times New Roman" w:hAnsi="Times New Roman" w:eastAsia="宋体" w:cs="Times New Roman"/>
          <w:b/>
          <w:sz w:val="28"/>
          <w:szCs w:val="28"/>
          <w:lang w:val="en-US" w:eastAsia="zh-CN"/>
        </w:rPr>
        <w:t>2.一致性原则</w:t>
      </w:r>
    </w:p>
    <w:p w14:paraId="107E0575">
      <w:pPr>
        <w:pStyle w:val="31"/>
        <w:ind w:firstLine="480"/>
        <w:rPr>
          <w:rFonts w:hint="default" w:ascii="Times New Roman" w:hAnsi="Times New Roman" w:cs="Times New Roman"/>
          <w:kern w:val="2"/>
          <w:sz w:val="28"/>
          <w:szCs w:val="28"/>
        </w:rPr>
      </w:pPr>
      <w:r>
        <w:rPr>
          <w:rFonts w:hint="default" w:ascii="Times New Roman" w:hAnsi="Times New Roman" w:cs="Times New Roman"/>
          <w:kern w:val="2"/>
          <w:sz w:val="28"/>
          <w:szCs w:val="28"/>
        </w:rPr>
        <w:t>本标准制定过程中查阅了与之相关的标准，确定的技术要求等内容按照国家标准、行业标准的顺序优先引用或参考；保持与近年来出台以及即将出台的相关政策、法规以及新技术紧密结合，增强标准关联性、协调性、适用性和统一性，避免出现矛盾。</w:t>
      </w:r>
    </w:p>
    <w:p w14:paraId="7EB14726">
      <w:pPr>
        <w:pStyle w:val="31"/>
        <w:ind w:firstLine="562" w:firstLineChars="200"/>
        <w:outlineLvl w:val="2"/>
        <w:rPr>
          <w:rFonts w:hint="default" w:ascii="Times New Roman" w:hAnsi="Times New Roman" w:eastAsia="宋体" w:cs="Times New Roman"/>
          <w:b/>
          <w:sz w:val="28"/>
          <w:szCs w:val="28"/>
          <w:lang w:val="en-US" w:eastAsia="zh-CN"/>
        </w:rPr>
      </w:pPr>
      <w:r>
        <w:rPr>
          <w:rFonts w:hint="default" w:ascii="Times New Roman" w:hAnsi="Times New Roman" w:eastAsia="宋体" w:cs="Times New Roman"/>
          <w:b/>
          <w:sz w:val="28"/>
          <w:szCs w:val="28"/>
          <w:lang w:val="en-US" w:eastAsia="zh-CN"/>
        </w:rPr>
        <w:t>3.完整性原则</w:t>
      </w:r>
    </w:p>
    <w:p w14:paraId="7DC054D1">
      <w:pPr>
        <w:pStyle w:val="31"/>
        <w:ind w:firstLine="480"/>
        <w:rPr>
          <w:rFonts w:hint="default" w:ascii="Times New Roman" w:hAnsi="Times New Roman" w:cs="Times New Roman"/>
          <w:kern w:val="2"/>
          <w:sz w:val="28"/>
          <w:szCs w:val="28"/>
        </w:rPr>
      </w:pPr>
      <w:r>
        <w:rPr>
          <w:rFonts w:hint="default" w:ascii="Times New Roman" w:hAnsi="Times New Roman" w:cs="Times New Roman"/>
          <w:kern w:val="2"/>
          <w:sz w:val="28"/>
          <w:szCs w:val="28"/>
        </w:rPr>
        <w:t>本标准</w:t>
      </w:r>
      <w:r>
        <w:rPr>
          <w:rFonts w:hint="eastAsia" w:ascii="Times New Roman" w:hAnsi="Times New Roman" w:cs="Times New Roman"/>
          <w:kern w:val="2"/>
          <w:sz w:val="28"/>
          <w:szCs w:val="28"/>
          <w:lang w:val="en-US" w:eastAsia="zh-CN"/>
        </w:rPr>
        <w:t>涵盖</w:t>
      </w:r>
      <w:r>
        <w:rPr>
          <w:rFonts w:hint="default" w:ascii="Times New Roman" w:hAnsi="Times New Roman" w:cs="Times New Roman"/>
          <w:sz w:val="28"/>
          <w:szCs w:val="28"/>
        </w:rPr>
        <w:t>集装箱码头自动驾驶车辆</w:t>
      </w:r>
      <w:r>
        <w:rPr>
          <w:rFonts w:hint="eastAsia" w:ascii="Times New Roman" w:hAnsi="Times New Roman" w:cs="Times New Roman"/>
          <w:sz w:val="28"/>
          <w:szCs w:val="28"/>
          <w:lang w:val="en-US" w:eastAsia="zh-CN"/>
        </w:rPr>
        <w:t>交互的各个对象</w:t>
      </w:r>
      <w:r>
        <w:rPr>
          <w:rFonts w:hint="default" w:ascii="Times New Roman" w:hAnsi="Times New Roman" w:cs="Times New Roman"/>
          <w:kern w:val="2"/>
          <w:sz w:val="28"/>
          <w:szCs w:val="28"/>
        </w:rPr>
        <w:t>，</w:t>
      </w:r>
      <w:r>
        <w:rPr>
          <w:rFonts w:hint="eastAsia" w:ascii="Times New Roman" w:hAnsi="Times New Roman" w:cs="Times New Roman"/>
          <w:kern w:val="2"/>
          <w:sz w:val="28"/>
          <w:szCs w:val="28"/>
          <w:lang w:val="en-US" w:eastAsia="zh-CN"/>
        </w:rPr>
        <w:t>包括码头生产系统、岸桥管理系统、场桥管理系统、锁站管理系统、换电管理系统等，覆盖装卸船过程中的主要交互环节，</w:t>
      </w:r>
      <w:r>
        <w:rPr>
          <w:rFonts w:hint="default" w:ascii="Times New Roman" w:hAnsi="Times New Roman" w:cs="Times New Roman"/>
          <w:kern w:val="2"/>
          <w:sz w:val="28"/>
          <w:szCs w:val="28"/>
        </w:rPr>
        <w:t>形成完整的闭环</w:t>
      </w:r>
      <w:r>
        <w:rPr>
          <w:rFonts w:hint="eastAsia" w:ascii="Times New Roman" w:hAnsi="Times New Roman" w:cs="Times New Roman"/>
          <w:kern w:val="2"/>
          <w:sz w:val="28"/>
          <w:szCs w:val="28"/>
          <w:lang w:eastAsia="zh-CN"/>
        </w:rPr>
        <w:t>，</w:t>
      </w:r>
      <w:r>
        <w:rPr>
          <w:rFonts w:hint="eastAsia" w:ascii="Times New Roman" w:hAnsi="Times New Roman" w:cs="Times New Roman"/>
          <w:kern w:val="2"/>
          <w:sz w:val="28"/>
          <w:szCs w:val="28"/>
          <w:lang w:val="en-US" w:eastAsia="zh-CN"/>
        </w:rPr>
        <w:t>并兼顾数据存储和传输安全</w:t>
      </w:r>
      <w:r>
        <w:rPr>
          <w:rFonts w:hint="default" w:ascii="Times New Roman" w:hAnsi="Times New Roman" w:cs="Times New Roman"/>
          <w:kern w:val="2"/>
          <w:sz w:val="28"/>
          <w:szCs w:val="28"/>
        </w:rPr>
        <w:t>。</w:t>
      </w:r>
    </w:p>
    <w:p w14:paraId="104EC278">
      <w:pPr>
        <w:pStyle w:val="31"/>
        <w:ind w:firstLine="562" w:firstLineChars="200"/>
        <w:outlineLvl w:val="2"/>
        <w:rPr>
          <w:rFonts w:hint="default" w:ascii="Times New Roman" w:hAnsi="Times New Roman" w:eastAsia="宋体" w:cs="Times New Roman"/>
          <w:b/>
          <w:sz w:val="28"/>
          <w:szCs w:val="28"/>
          <w:lang w:val="en-US" w:eastAsia="zh-CN"/>
        </w:rPr>
      </w:pPr>
      <w:r>
        <w:rPr>
          <w:rFonts w:hint="default" w:ascii="Times New Roman" w:hAnsi="Times New Roman" w:eastAsia="宋体" w:cs="Times New Roman"/>
          <w:b/>
          <w:sz w:val="28"/>
          <w:szCs w:val="28"/>
          <w:lang w:val="en-US" w:eastAsia="zh-CN"/>
        </w:rPr>
        <w:t>4.适用性原则</w:t>
      </w:r>
    </w:p>
    <w:p w14:paraId="52FE31F7">
      <w:pPr>
        <w:pStyle w:val="31"/>
        <w:ind w:firstLine="480"/>
        <w:rPr>
          <w:rFonts w:hint="default" w:ascii="Times New Roman" w:hAnsi="Times New Roman" w:cs="Times New Roman"/>
          <w:kern w:val="2"/>
          <w:sz w:val="28"/>
          <w:szCs w:val="28"/>
        </w:rPr>
      </w:pPr>
      <w:r>
        <w:rPr>
          <w:rFonts w:hint="default" w:ascii="Times New Roman" w:hAnsi="Times New Roman" w:cs="Times New Roman"/>
          <w:kern w:val="2"/>
          <w:sz w:val="28"/>
          <w:szCs w:val="28"/>
        </w:rPr>
        <w:t>本标准充分考虑了港口企业运营目标和国家智慧港口建设政策导向要求，综合考虑标准制定的有效性、公平性、可实施性和可持续性，确保标准的适用性。</w:t>
      </w:r>
    </w:p>
    <w:p w14:paraId="2E561EC1">
      <w:pPr>
        <w:tabs>
          <w:tab w:val="left" w:pos="3544"/>
        </w:tabs>
        <w:spacing w:line="360" w:lineRule="auto"/>
        <w:ind w:firstLine="562" w:firstLineChars="200"/>
        <w:outlineLvl w:val="1"/>
        <w:rPr>
          <w:rFonts w:hint="default" w:ascii="Times New Roman" w:hAnsi="Times New Roman" w:cs="Times New Roman"/>
          <w:b/>
          <w:sz w:val="28"/>
          <w:szCs w:val="28"/>
        </w:rPr>
      </w:pPr>
      <w:r>
        <w:rPr>
          <w:rFonts w:hint="default" w:ascii="Times New Roman" w:hAnsi="Times New Roman" w:cs="Times New Roman"/>
          <w:b/>
          <w:sz w:val="28"/>
          <w:szCs w:val="28"/>
        </w:rPr>
        <w:t>（二）确定标准主要内容的论据</w:t>
      </w:r>
    </w:p>
    <w:p w14:paraId="38E68B82">
      <w:pPr>
        <w:pStyle w:val="31"/>
        <w:ind w:firstLine="562" w:firstLineChars="200"/>
        <w:outlineLvl w:val="2"/>
        <w:rPr>
          <w:rFonts w:hint="default" w:ascii="Times New Roman" w:hAnsi="Times New Roman" w:cs="Times New Roman"/>
          <w:b/>
          <w:sz w:val="28"/>
          <w:szCs w:val="28"/>
        </w:rPr>
      </w:pPr>
      <w:r>
        <w:rPr>
          <w:rFonts w:hint="default" w:ascii="Times New Roman" w:hAnsi="Times New Roman" w:cs="Times New Roman"/>
          <w:b/>
          <w:sz w:val="28"/>
          <w:szCs w:val="28"/>
        </w:rPr>
        <w:t>1.标准名称</w:t>
      </w:r>
    </w:p>
    <w:p w14:paraId="7F82D94F">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标准计划名称为《集装箱码头自动驾驶车辆作业管控数据交互技术要求》。</w:t>
      </w:r>
    </w:p>
    <w:p w14:paraId="3D66DE60">
      <w:pPr>
        <w:pStyle w:val="31"/>
        <w:ind w:firstLine="480"/>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lang w:val="en-US" w:eastAsia="zh-CN"/>
        </w:rPr>
        <w:t>原标准计划名称《</w:t>
      </w:r>
      <w:r>
        <w:rPr>
          <w:rFonts w:hint="default" w:ascii="Times New Roman" w:hAnsi="Times New Roman" w:cs="Times New Roman"/>
          <w:sz w:val="28"/>
          <w:szCs w:val="28"/>
        </w:rPr>
        <w:t>集装箱码头自动驾驶车辆作业</w:t>
      </w:r>
      <w:r>
        <w:rPr>
          <w:rFonts w:hint="default" w:ascii="Times New Roman" w:hAnsi="Times New Roman" w:cs="Times New Roman"/>
          <w:sz w:val="28"/>
          <w:szCs w:val="28"/>
          <w:lang w:val="en-US" w:eastAsia="zh-CN"/>
        </w:rPr>
        <w:t>任务</w:t>
      </w:r>
      <w:r>
        <w:rPr>
          <w:rFonts w:hint="default" w:ascii="Times New Roman" w:hAnsi="Times New Roman" w:cs="Times New Roman"/>
          <w:sz w:val="28"/>
          <w:szCs w:val="28"/>
        </w:rPr>
        <w:t>管控数据交互技术要求</w:t>
      </w:r>
      <w:r>
        <w:rPr>
          <w:rFonts w:hint="default" w:ascii="Times New Roman" w:hAnsi="Times New Roman" w:cs="Times New Roman"/>
          <w:sz w:val="28"/>
          <w:szCs w:val="28"/>
          <w:lang w:val="en-US" w:eastAsia="zh-CN"/>
        </w:rPr>
        <w:t>》，按照专家意见，为避免歧义，删除“任务”。</w:t>
      </w:r>
    </w:p>
    <w:p w14:paraId="59D798CB">
      <w:pPr>
        <w:pStyle w:val="31"/>
        <w:ind w:firstLine="562" w:firstLineChars="200"/>
        <w:outlineLvl w:val="2"/>
        <w:rPr>
          <w:rFonts w:hint="default" w:ascii="Times New Roman" w:hAnsi="Times New Roman" w:cs="Times New Roman"/>
          <w:b/>
          <w:sz w:val="28"/>
          <w:szCs w:val="28"/>
        </w:rPr>
      </w:pPr>
      <w:r>
        <w:rPr>
          <w:rFonts w:hint="default" w:ascii="Times New Roman" w:hAnsi="Times New Roman" w:cs="Times New Roman"/>
          <w:b/>
          <w:sz w:val="28"/>
          <w:szCs w:val="28"/>
        </w:rPr>
        <w:t>2.范围</w:t>
      </w:r>
    </w:p>
    <w:p w14:paraId="3AD4CD5D">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本文件规定了集装箱码头自动驾驶车辆作业管控数据交互的一般要求、</w:t>
      </w:r>
      <w:r>
        <w:rPr>
          <w:rFonts w:hint="default" w:ascii="Times New Roman" w:hAnsi="Times New Roman" w:cs="Times New Roman"/>
          <w:sz w:val="28"/>
          <w:szCs w:val="28"/>
          <w:lang w:val="en-US" w:eastAsia="zh-CN"/>
        </w:rPr>
        <w:t>数据</w:t>
      </w:r>
      <w:r>
        <w:rPr>
          <w:rFonts w:hint="default" w:ascii="Times New Roman" w:hAnsi="Times New Roman" w:cs="Times New Roman"/>
          <w:sz w:val="28"/>
          <w:szCs w:val="28"/>
        </w:rPr>
        <w:t>交互内容与格式、数据接口和数据安全等。</w:t>
      </w:r>
    </w:p>
    <w:p w14:paraId="06499621">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本文件适用于集装箱码头自动驾驶车辆作业管控数据交互的设计、开发和应用。</w:t>
      </w:r>
    </w:p>
    <w:p w14:paraId="50112B68">
      <w:pPr>
        <w:pStyle w:val="31"/>
        <w:ind w:firstLine="562" w:firstLineChars="200"/>
        <w:outlineLvl w:val="2"/>
        <w:rPr>
          <w:rFonts w:hint="default" w:ascii="Times New Roman" w:hAnsi="Times New Roman" w:cs="Times New Roman"/>
          <w:b/>
          <w:sz w:val="28"/>
          <w:szCs w:val="28"/>
        </w:rPr>
      </w:pPr>
      <w:r>
        <w:rPr>
          <w:rFonts w:hint="default" w:ascii="Times New Roman" w:hAnsi="Times New Roman" w:cs="Times New Roman"/>
          <w:b/>
          <w:sz w:val="28"/>
          <w:szCs w:val="28"/>
        </w:rPr>
        <w:t>3.规范性引用文件</w:t>
      </w:r>
    </w:p>
    <w:p w14:paraId="3DBB1032">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本文件主要规范性引用和参考了以下文件内容：</w:t>
      </w:r>
    </w:p>
    <w:p w14:paraId="6984A415">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GB/T 42809 自动化集装箱码头操作系统技术要求</w:t>
      </w:r>
    </w:p>
    <w:p w14:paraId="7F5360FC">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GB/T 42811 港口集装箱作业系统技术要求</w:t>
      </w:r>
    </w:p>
    <w:p w14:paraId="6E8968DB">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GB/T 39786 信息安全技术 信息系统密码应用基本要求</w:t>
      </w:r>
    </w:p>
    <w:p w14:paraId="1A674B0A">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GB/T 22239 信息安全技术 网络安全等级保护基本要求</w:t>
      </w:r>
    </w:p>
    <w:p w14:paraId="0EC36733">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JTS/T 174 自动化集装箱码头设计规范</w:t>
      </w:r>
    </w:p>
    <w:p w14:paraId="15F0E189">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JT/T 880 港口牵引车</w:t>
      </w:r>
    </w:p>
    <w:p w14:paraId="321C47EF">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JT/T 1254 港口高精度卫星导航定位系统应用技术要求</w:t>
      </w:r>
    </w:p>
    <w:p w14:paraId="2A0AEE53">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JT/T 697.1 交通信息基础数据元 第1部分：总则</w:t>
      </w:r>
    </w:p>
    <w:p w14:paraId="10E36976">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JT/T 697.3 交通信息基础数据元 第3部分：港口信息基础数据元</w:t>
      </w:r>
    </w:p>
    <w:p w14:paraId="51C0EBB6">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JT/T 747.3 交通运输信息资源目录体系 第3部分：核心元数据</w:t>
      </w:r>
    </w:p>
    <w:p w14:paraId="79A4CEBD">
      <w:pPr>
        <w:pStyle w:val="31"/>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JT/T 747.4 交通运输信息资源目录体系 第4部分：公路水路信息资源分类</w:t>
      </w:r>
    </w:p>
    <w:p w14:paraId="0290B2C8">
      <w:pPr>
        <w:pStyle w:val="31"/>
        <w:ind w:firstLine="562" w:firstLineChars="200"/>
        <w:outlineLvl w:val="2"/>
        <w:rPr>
          <w:rFonts w:hint="default" w:ascii="Times New Roman" w:hAnsi="Times New Roman" w:eastAsia="宋体" w:cs="Times New Roman"/>
          <w:b/>
          <w:sz w:val="28"/>
          <w:szCs w:val="28"/>
          <w:lang w:val="en-US" w:eastAsia="zh-CN"/>
        </w:rPr>
      </w:pPr>
      <w:r>
        <w:rPr>
          <w:rFonts w:hint="default" w:ascii="Times New Roman" w:hAnsi="Times New Roman" w:cs="Times New Roman"/>
          <w:b/>
          <w:sz w:val="28"/>
          <w:szCs w:val="28"/>
        </w:rPr>
        <w:t>4.术语和定义</w:t>
      </w:r>
      <w:r>
        <w:rPr>
          <w:rFonts w:hint="default" w:ascii="Times New Roman" w:hAnsi="Times New Roman" w:cs="Times New Roman"/>
          <w:b/>
          <w:sz w:val="28"/>
          <w:szCs w:val="28"/>
          <w:lang w:val="en-US" w:eastAsia="zh-CN"/>
        </w:rPr>
        <w:t>及缩略语</w:t>
      </w:r>
    </w:p>
    <w:p w14:paraId="62CDB85A">
      <w:pPr>
        <w:pStyle w:val="31"/>
        <w:ind w:firstLine="48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本文件没有需要界定的术语和定义。</w:t>
      </w:r>
    </w:p>
    <w:p w14:paraId="363C010F">
      <w:pPr>
        <w:pStyle w:val="31"/>
        <w:ind w:firstLine="48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主要采用了以下缩略语：</w:t>
      </w:r>
    </w:p>
    <w:p w14:paraId="79C026DB">
      <w:pPr>
        <w:pStyle w:val="31"/>
        <w:ind w:firstLine="48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TOS：码头生产系统（Terminal Operating System）</w:t>
      </w:r>
    </w:p>
    <w:p w14:paraId="74038296">
      <w:pPr>
        <w:pStyle w:val="31"/>
        <w:ind w:firstLine="48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QCMS：岸桥管理系统（Quay Crane Management System）</w:t>
      </w:r>
    </w:p>
    <w:p w14:paraId="7A702AA6">
      <w:pPr>
        <w:pStyle w:val="31"/>
        <w:ind w:firstLine="48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YCMS：场桥管理系统（Yard Crane Management System）</w:t>
      </w:r>
    </w:p>
    <w:p w14:paraId="7C4E3A4D">
      <w:pPr>
        <w:pStyle w:val="31"/>
        <w:ind w:firstLine="48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LSMS：锁站管理系统（Lock Station Management System）</w:t>
      </w:r>
    </w:p>
    <w:p w14:paraId="49E968FB">
      <w:pPr>
        <w:pStyle w:val="31"/>
        <w:ind w:firstLine="48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HMCS：换电管理系统（Hybrid Management and Control System）</w:t>
      </w:r>
    </w:p>
    <w:p w14:paraId="0C98761E">
      <w:pPr>
        <w:pStyle w:val="31"/>
        <w:ind w:firstLine="48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FMS：车队管理系统（Fleet Management System）</w:t>
      </w:r>
    </w:p>
    <w:p w14:paraId="370174CA">
      <w:pPr>
        <w:pStyle w:val="31"/>
        <w:ind w:firstLine="562" w:firstLineChars="200"/>
        <w:outlineLvl w:val="2"/>
        <w:rPr>
          <w:rFonts w:hint="default" w:ascii="Times New Roman" w:hAnsi="Times New Roman" w:eastAsia="宋体" w:cs="Times New Roman"/>
          <w:b/>
          <w:sz w:val="28"/>
          <w:szCs w:val="28"/>
          <w:lang w:eastAsia="zh-CN"/>
        </w:rPr>
      </w:pPr>
      <w:r>
        <w:rPr>
          <w:rFonts w:hint="default" w:ascii="Times New Roman" w:hAnsi="Times New Roman" w:cs="Times New Roman"/>
          <w:b/>
          <w:sz w:val="28"/>
          <w:szCs w:val="28"/>
        </w:rPr>
        <w:t>5.</w:t>
      </w:r>
      <w:r>
        <w:rPr>
          <w:rFonts w:hint="default" w:ascii="Times New Roman" w:hAnsi="Times New Roman" w:cs="Times New Roman"/>
          <w:b/>
          <w:sz w:val="28"/>
          <w:szCs w:val="28"/>
          <w:lang w:val="en-US" w:eastAsia="zh-CN"/>
        </w:rPr>
        <w:t>一般要求</w:t>
      </w:r>
    </w:p>
    <w:p w14:paraId="24D4C8D9">
      <w:pPr>
        <w:pStyle w:val="31"/>
        <w:ind w:firstLine="480"/>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t>本章节针对集装箱码头自动驾驶车辆作业管控数据交互提出了总体性、一般性、基础性的要求，包括自动驾驶车辆在装船作业和卸船作业过程中的交互对象</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交互方式和交互基本内容</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交互数据的存储、传输和安全的基本要求等</w:t>
      </w:r>
    </w:p>
    <w:p w14:paraId="4DEA4924">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【关键性条款说明】</w:t>
      </w:r>
    </w:p>
    <w:p w14:paraId="23982845">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（1）本章节</w:t>
      </w:r>
      <w:r>
        <w:rPr>
          <w:rFonts w:hint="eastAsia" w:ascii="Times New Roman" w:hAnsi="Times New Roman" w:cs="Times New Roman"/>
          <w:sz w:val="28"/>
          <w:szCs w:val="28"/>
          <w:lang w:val="en-US" w:eastAsia="zh-CN"/>
        </w:rPr>
        <w:t>4.1-4.3节</w:t>
      </w:r>
      <w:r>
        <w:rPr>
          <w:rFonts w:hint="default" w:ascii="Times New Roman" w:hAnsi="Times New Roman" w:cs="Times New Roman"/>
          <w:sz w:val="28"/>
          <w:szCs w:val="28"/>
        </w:rPr>
        <w:t>明确了自动驾驶车辆在装船作业和卸船作业过程中的交互对象应包括TOS、场桥、岸桥、锁站、换电站等</w:t>
      </w:r>
      <w:r>
        <w:rPr>
          <w:rFonts w:hint="eastAsia" w:ascii="Times New Roman" w:hAnsi="Times New Roman" w:cs="Times New Roman"/>
          <w:sz w:val="28"/>
          <w:szCs w:val="28"/>
          <w:lang w:eastAsia="zh-CN"/>
        </w:rPr>
        <w:t>，</w:t>
      </w:r>
      <w:r>
        <w:rPr>
          <w:rFonts w:hint="default" w:ascii="Times New Roman" w:hAnsi="Times New Roman" w:cs="Times New Roman"/>
          <w:sz w:val="28"/>
          <w:szCs w:val="28"/>
        </w:rPr>
        <w:t>自动驾驶车辆通过FMS实现与交互对象</w:t>
      </w:r>
      <w:r>
        <w:rPr>
          <w:rFonts w:hint="eastAsia" w:ascii="Times New Roman" w:hAnsi="Times New Roman" w:cs="Times New Roman"/>
          <w:sz w:val="28"/>
          <w:szCs w:val="28"/>
          <w:lang w:val="en-US" w:eastAsia="zh-CN"/>
        </w:rPr>
        <w:t>之间的</w:t>
      </w:r>
      <w:r>
        <w:rPr>
          <w:rFonts w:hint="default" w:ascii="Times New Roman" w:hAnsi="Times New Roman" w:cs="Times New Roman"/>
          <w:sz w:val="28"/>
          <w:szCs w:val="28"/>
        </w:rPr>
        <w:t>数据交互</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交互的内容应至少包括</w:t>
      </w:r>
      <w:r>
        <w:rPr>
          <w:rFonts w:hint="default" w:ascii="Times New Roman" w:hAnsi="Times New Roman" w:cs="Times New Roman"/>
          <w:sz w:val="28"/>
          <w:szCs w:val="28"/>
        </w:rPr>
        <w:t>车辆状态信息、车辆位置信息、引导交互信息</w:t>
      </w:r>
      <w:r>
        <w:rPr>
          <w:rFonts w:hint="eastAsia" w:ascii="Times New Roman" w:hAnsi="Times New Roman" w:cs="Times New Roman"/>
          <w:sz w:val="28"/>
          <w:szCs w:val="28"/>
          <w:lang w:val="en-US" w:eastAsia="zh-CN"/>
        </w:rPr>
        <w:t>等几类</w:t>
      </w:r>
      <w:r>
        <w:rPr>
          <w:rFonts w:hint="default" w:ascii="Times New Roman" w:hAnsi="Times New Roman" w:cs="Times New Roman"/>
          <w:sz w:val="28"/>
          <w:szCs w:val="28"/>
        </w:rPr>
        <w:t>。</w:t>
      </w:r>
    </w:p>
    <w:p w14:paraId="1806DD32">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（2）本章节</w:t>
      </w:r>
      <w:r>
        <w:rPr>
          <w:rFonts w:hint="eastAsia" w:ascii="Times New Roman" w:hAnsi="Times New Roman" w:cs="Times New Roman"/>
          <w:sz w:val="28"/>
          <w:szCs w:val="28"/>
          <w:lang w:val="en-US" w:eastAsia="zh-CN"/>
        </w:rPr>
        <w:t>4.4-4.5节</w:t>
      </w:r>
      <w:r>
        <w:rPr>
          <w:rFonts w:hint="default" w:ascii="Times New Roman" w:hAnsi="Times New Roman" w:cs="Times New Roman"/>
          <w:sz w:val="28"/>
          <w:szCs w:val="28"/>
        </w:rPr>
        <w:t>明确了</w:t>
      </w:r>
      <w:r>
        <w:rPr>
          <w:rFonts w:hint="eastAsia" w:ascii="Times New Roman" w:hAnsi="Times New Roman" w:cs="Times New Roman"/>
          <w:sz w:val="28"/>
          <w:szCs w:val="28"/>
          <w:lang w:val="en-US" w:eastAsia="zh-CN"/>
        </w:rPr>
        <w:t>数据交互日志和传输日志的存储周期要求，数据字段名称应和行标规定要求保持一致</w:t>
      </w:r>
      <w:r>
        <w:rPr>
          <w:rFonts w:hint="default" w:ascii="Times New Roman" w:hAnsi="Times New Roman" w:cs="Times New Roman"/>
          <w:sz w:val="28"/>
          <w:szCs w:val="28"/>
        </w:rPr>
        <w:t>。</w:t>
      </w:r>
    </w:p>
    <w:p w14:paraId="25C540F5">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（3）本章节</w:t>
      </w:r>
      <w:r>
        <w:rPr>
          <w:rFonts w:hint="eastAsia" w:ascii="Times New Roman" w:hAnsi="Times New Roman" w:cs="Times New Roman"/>
          <w:sz w:val="28"/>
          <w:szCs w:val="28"/>
          <w:lang w:val="en-US" w:eastAsia="zh-CN"/>
        </w:rPr>
        <w:t>4.6-4.10节</w:t>
      </w:r>
      <w:r>
        <w:rPr>
          <w:rFonts w:hint="default" w:ascii="Times New Roman" w:hAnsi="Times New Roman" w:cs="Times New Roman"/>
          <w:sz w:val="28"/>
          <w:szCs w:val="28"/>
        </w:rPr>
        <w:t>明确了</w:t>
      </w:r>
      <w:r>
        <w:rPr>
          <w:rFonts w:hint="eastAsia" w:ascii="Times New Roman" w:hAnsi="Times New Roman" w:cs="Times New Roman"/>
          <w:sz w:val="28"/>
          <w:szCs w:val="28"/>
          <w:lang w:val="en-US" w:eastAsia="zh-CN"/>
        </w:rPr>
        <w:t>数据接口、密码应用、服务器、物联网设备等相关的安全要求</w:t>
      </w:r>
      <w:r>
        <w:rPr>
          <w:rFonts w:hint="default" w:ascii="Times New Roman" w:hAnsi="Times New Roman" w:cs="Times New Roman"/>
          <w:sz w:val="28"/>
          <w:szCs w:val="28"/>
        </w:rPr>
        <w:t>。</w:t>
      </w:r>
    </w:p>
    <w:p w14:paraId="6B1643C5">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（4）本章节</w:t>
      </w:r>
      <w:r>
        <w:rPr>
          <w:rFonts w:hint="eastAsia" w:ascii="Times New Roman" w:hAnsi="Times New Roman" w:cs="Times New Roman"/>
          <w:sz w:val="28"/>
          <w:szCs w:val="28"/>
          <w:lang w:val="en-US" w:eastAsia="zh-CN"/>
        </w:rPr>
        <w:t>4.11-4.12节</w:t>
      </w:r>
      <w:r>
        <w:rPr>
          <w:rFonts w:hint="default" w:ascii="Times New Roman" w:hAnsi="Times New Roman" w:cs="Times New Roman"/>
          <w:sz w:val="28"/>
          <w:szCs w:val="28"/>
        </w:rPr>
        <w:t>明确了各数据交互方的权责边界</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签署保密协议、安全与技术培训等要求</w:t>
      </w:r>
      <w:r>
        <w:rPr>
          <w:rFonts w:hint="default" w:ascii="Times New Roman" w:hAnsi="Times New Roman" w:cs="Times New Roman"/>
          <w:sz w:val="28"/>
          <w:szCs w:val="28"/>
        </w:rPr>
        <w:t>。</w:t>
      </w:r>
    </w:p>
    <w:p w14:paraId="3004C92A">
      <w:pPr>
        <w:pStyle w:val="31"/>
        <w:ind w:firstLine="562" w:firstLineChars="200"/>
        <w:outlineLvl w:val="2"/>
        <w:rPr>
          <w:rFonts w:hint="default" w:ascii="Times New Roman" w:hAnsi="Times New Roman" w:eastAsia="宋体" w:cs="Times New Roman"/>
          <w:b/>
          <w:sz w:val="28"/>
          <w:szCs w:val="28"/>
          <w:lang w:eastAsia="zh-CN"/>
        </w:rPr>
      </w:pPr>
      <w:bookmarkStart w:id="7" w:name="_Toc148605358"/>
      <w:bookmarkStart w:id="8" w:name="_Toc135398036"/>
      <w:bookmarkStart w:id="9" w:name="_Toc134110944"/>
      <w:bookmarkStart w:id="10" w:name="_Toc114146401"/>
      <w:bookmarkStart w:id="11" w:name="_Toc148605689"/>
      <w:bookmarkStart w:id="12" w:name="_Toc135409213"/>
      <w:bookmarkStart w:id="13" w:name="_Toc134110284"/>
      <w:bookmarkStart w:id="14" w:name="_Toc114212415"/>
      <w:bookmarkStart w:id="15" w:name="_Toc114146013"/>
      <w:bookmarkStart w:id="16" w:name="_Toc134110960"/>
      <w:bookmarkStart w:id="17" w:name="_Toc135398087"/>
      <w:r>
        <w:rPr>
          <w:rFonts w:hint="default" w:ascii="Times New Roman" w:hAnsi="Times New Roman" w:cs="Times New Roman"/>
          <w:b/>
          <w:sz w:val="28"/>
          <w:szCs w:val="28"/>
        </w:rPr>
        <w:t>6.</w:t>
      </w:r>
      <w:bookmarkEnd w:id="7"/>
      <w:bookmarkEnd w:id="8"/>
      <w:bookmarkEnd w:id="9"/>
      <w:bookmarkEnd w:id="10"/>
      <w:bookmarkEnd w:id="11"/>
      <w:bookmarkEnd w:id="12"/>
      <w:bookmarkEnd w:id="13"/>
      <w:bookmarkEnd w:id="14"/>
      <w:bookmarkEnd w:id="15"/>
      <w:bookmarkEnd w:id="16"/>
      <w:bookmarkEnd w:id="17"/>
      <w:r>
        <w:rPr>
          <w:rFonts w:hint="default" w:ascii="Times New Roman" w:hAnsi="Times New Roman" w:cs="Times New Roman"/>
          <w:b/>
          <w:sz w:val="28"/>
          <w:szCs w:val="28"/>
          <w:lang w:val="en-US" w:eastAsia="zh-CN"/>
        </w:rPr>
        <w:t>数据交互</w:t>
      </w:r>
    </w:p>
    <w:p w14:paraId="42A616FE">
      <w:pPr>
        <w:pStyle w:val="31"/>
        <w:ind w:firstLine="480"/>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本章节提出了</w:t>
      </w:r>
      <w:r>
        <w:rPr>
          <w:rFonts w:hint="default" w:ascii="Times New Roman" w:hAnsi="Times New Roman" w:cs="Times New Roman"/>
          <w:sz w:val="28"/>
          <w:szCs w:val="28"/>
        </w:rPr>
        <w:t>集装箱码头自动驾驶车辆</w:t>
      </w:r>
      <w:r>
        <w:rPr>
          <w:rFonts w:hint="default" w:ascii="Times New Roman" w:hAnsi="Times New Roman" w:eastAsia="宋体" w:cs="Times New Roman"/>
          <w:sz w:val="28"/>
          <w:szCs w:val="28"/>
        </w:rPr>
        <w:t>与码头生产作业系统、岸桥管理系统、场桥管理系统、锁站管理系统、换电管理系统等</w:t>
      </w:r>
      <w:r>
        <w:rPr>
          <w:rFonts w:hint="eastAsia" w:ascii="Times New Roman" w:hAnsi="Times New Roman" w:cs="Times New Roman"/>
          <w:sz w:val="28"/>
          <w:szCs w:val="28"/>
          <w:lang w:val="en-US" w:eastAsia="zh-CN"/>
        </w:rPr>
        <w:t>交互对象之间作业管控数据交互的一般流程和主要交互内容。</w:t>
      </w:r>
    </w:p>
    <w:p w14:paraId="0C8B4E59">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【关键性条款说明】</w:t>
      </w:r>
    </w:p>
    <w:p w14:paraId="01D79F3F">
      <w:pPr>
        <w:pStyle w:val="31"/>
        <w:ind w:firstLine="480"/>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本章节</w:t>
      </w:r>
      <w:r>
        <w:rPr>
          <w:rFonts w:hint="default" w:ascii="Times New Roman" w:hAnsi="Times New Roman" w:cs="Times New Roman"/>
          <w:sz w:val="28"/>
          <w:szCs w:val="28"/>
        </w:rPr>
        <w:t>5.1</w:t>
      </w:r>
      <w:r>
        <w:rPr>
          <w:rFonts w:hint="eastAsia" w:ascii="Times New Roman" w:hAnsi="Times New Roman" w:cs="Times New Roman"/>
          <w:sz w:val="28"/>
          <w:szCs w:val="28"/>
          <w:lang w:val="en-US" w:eastAsia="zh-CN"/>
        </w:rPr>
        <w:t>节明确了</w:t>
      </w:r>
      <w:r>
        <w:rPr>
          <w:rFonts w:hint="default" w:ascii="Times New Roman" w:hAnsi="Times New Roman" w:cs="Times New Roman"/>
          <w:sz w:val="28"/>
          <w:szCs w:val="28"/>
        </w:rPr>
        <w:t>自动驾驶车辆与TOS</w:t>
      </w:r>
      <w:r>
        <w:rPr>
          <w:rFonts w:hint="eastAsia" w:ascii="Times New Roman" w:hAnsi="Times New Roman" w:cs="Times New Roman"/>
          <w:sz w:val="28"/>
          <w:szCs w:val="28"/>
          <w:lang w:val="en-US" w:eastAsia="zh-CN"/>
        </w:rPr>
        <w:t>系统之间</w:t>
      </w:r>
      <w:r>
        <w:rPr>
          <w:rFonts w:hint="default" w:ascii="Times New Roman" w:hAnsi="Times New Roman" w:cs="Times New Roman"/>
          <w:sz w:val="28"/>
          <w:szCs w:val="28"/>
        </w:rPr>
        <w:t>管控数据</w:t>
      </w:r>
      <w:r>
        <w:rPr>
          <w:rFonts w:hint="eastAsia" w:ascii="Times New Roman" w:hAnsi="Times New Roman" w:cs="Times New Roman"/>
          <w:sz w:val="28"/>
          <w:szCs w:val="28"/>
          <w:lang w:val="en-US" w:eastAsia="zh-CN"/>
        </w:rPr>
        <w:t>的</w:t>
      </w:r>
      <w:r>
        <w:rPr>
          <w:rFonts w:hint="default" w:ascii="Times New Roman" w:hAnsi="Times New Roman" w:cs="Times New Roman"/>
          <w:sz w:val="28"/>
          <w:szCs w:val="28"/>
        </w:rPr>
        <w:t>交互</w:t>
      </w:r>
      <w:r>
        <w:rPr>
          <w:rFonts w:hint="eastAsia" w:ascii="Times New Roman" w:hAnsi="Times New Roman" w:cs="Times New Roman"/>
          <w:sz w:val="28"/>
          <w:szCs w:val="28"/>
          <w:lang w:val="en-US" w:eastAsia="zh-CN"/>
        </w:rPr>
        <w:t>流程和内容，TOS系统作为作业任务的发起方，向FMS系统发送任务指令、作业箱型基础信息、作业船舶信息和集装箱信息等，FMS系统将接收到的指令信息下发给自动驾驶车辆执行，自动驾驶车辆通过FMS系统向TOS系统反馈车辆状态、车辆实时位置、行驶速度等信息。</w:t>
      </w:r>
    </w:p>
    <w:p w14:paraId="19B300E7">
      <w:pPr>
        <w:pStyle w:val="31"/>
        <w:ind w:firstLine="480"/>
        <w:rPr>
          <w:rFonts w:hint="default" w:ascii="Times New Roman" w:hAnsi="Times New Roman" w:cs="Times New Roman"/>
          <w:sz w:val="28"/>
          <w:szCs w:val="28"/>
          <w:lang w:val="en-US"/>
        </w:rPr>
      </w:pPr>
      <w:r>
        <w:rPr>
          <w:rFonts w:hint="eastAsia" w:ascii="Times New Roman" w:hAnsi="Times New Roman" w:cs="Times New Roman"/>
          <w:sz w:val="28"/>
          <w:szCs w:val="28"/>
          <w:lang w:val="en-US" w:eastAsia="zh-CN"/>
        </w:rPr>
        <w:t>本章节</w:t>
      </w:r>
      <w:r>
        <w:rPr>
          <w:rFonts w:hint="default" w:ascii="Times New Roman" w:hAnsi="Times New Roman" w:cs="Times New Roman"/>
          <w:sz w:val="28"/>
          <w:szCs w:val="28"/>
        </w:rPr>
        <w:t>5.</w:t>
      </w:r>
      <w:r>
        <w:rPr>
          <w:rFonts w:hint="eastAsia" w:ascii="Times New Roman" w:hAnsi="Times New Roman" w:cs="Times New Roman"/>
          <w:sz w:val="28"/>
          <w:szCs w:val="28"/>
          <w:lang w:val="en-US" w:eastAsia="zh-CN"/>
        </w:rPr>
        <w:t>2-5.3节明确了</w:t>
      </w:r>
      <w:r>
        <w:rPr>
          <w:rFonts w:hint="default" w:ascii="Times New Roman" w:hAnsi="Times New Roman" w:cs="Times New Roman"/>
          <w:sz w:val="28"/>
          <w:szCs w:val="28"/>
        </w:rPr>
        <w:t>自动驾驶车辆与</w:t>
      </w:r>
      <w:r>
        <w:rPr>
          <w:rFonts w:hint="eastAsia" w:ascii="Times New Roman" w:hAnsi="Times New Roman" w:cs="Times New Roman"/>
          <w:sz w:val="28"/>
          <w:szCs w:val="28"/>
          <w:lang w:val="en-US" w:eastAsia="zh-CN"/>
        </w:rPr>
        <w:t>QCMS、YCMS系统之间</w:t>
      </w:r>
      <w:r>
        <w:rPr>
          <w:rFonts w:hint="default" w:ascii="Times New Roman" w:hAnsi="Times New Roman" w:cs="Times New Roman"/>
          <w:sz w:val="28"/>
          <w:szCs w:val="28"/>
        </w:rPr>
        <w:t>管控数据</w:t>
      </w:r>
      <w:r>
        <w:rPr>
          <w:rFonts w:hint="eastAsia" w:ascii="Times New Roman" w:hAnsi="Times New Roman" w:cs="Times New Roman"/>
          <w:sz w:val="28"/>
          <w:szCs w:val="28"/>
          <w:lang w:val="en-US" w:eastAsia="zh-CN"/>
        </w:rPr>
        <w:t>的</w:t>
      </w:r>
      <w:r>
        <w:rPr>
          <w:rFonts w:hint="default" w:ascii="Times New Roman" w:hAnsi="Times New Roman" w:cs="Times New Roman"/>
          <w:sz w:val="28"/>
          <w:szCs w:val="28"/>
        </w:rPr>
        <w:t>交互</w:t>
      </w:r>
      <w:r>
        <w:rPr>
          <w:rFonts w:hint="eastAsia" w:ascii="Times New Roman" w:hAnsi="Times New Roman" w:cs="Times New Roman"/>
          <w:sz w:val="28"/>
          <w:szCs w:val="28"/>
          <w:lang w:val="en-US" w:eastAsia="zh-CN"/>
        </w:rPr>
        <w:t>流程和内容，FMS系统接收到TOS系统发送的桥吊指令后，下发给自动驾驶车辆执行，QCMS、YCMS系统向FMS发送桥吊状态信息、引导对位指令信息、车辆可驶离指令信息等，自动驾驶车辆通过FMS系统向QCMS、YCMS系统反馈车辆状态信息、对位申请信息、对位指令执行结果信息等。</w:t>
      </w:r>
    </w:p>
    <w:p w14:paraId="4ED36F99">
      <w:pPr>
        <w:pStyle w:val="31"/>
        <w:ind w:firstLine="480"/>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本章节5.4节明确了</w:t>
      </w:r>
      <w:r>
        <w:rPr>
          <w:rFonts w:hint="default" w:ascii="Times New Roman" w:hAnsi="Times New Roman" w:cs="Times New Roman"/>
          <w:sz w:val="28"/>
          <w:szCs w:val="28"/>
        </w:rPr>
        <w:t>自动驾驶车辆与</w:t>
      </w:r>
      <w:r>
        <w:rPr>
          <w:rFonts w:hint="eastAsia" w:ascii="Times New Roman" w:hAnsi="Times New Roman" w:cs="Times New Roman"/>
          <w:sz w:val="28"/>
          <w:szCs w:val="28"/>
          <w:lang w:val="en-US" w:eastAsia="zh-CN"/>
        </w:rPr>
        <w:t>LSMS系统之间</w:t>
      </w:r>
      <w:r>
        <w:rPr>
          <w:rFonts w:hint="default" w:ascii="Times New Roman" w:hAnsi="Times New Roman" w:cs="Times New Roman"/>
          <w:sz w:val="28"/>
          <w:szCs w:val="28"/>
        </w:rPr>
        <w:t>管控数据</w:t>
      </w:r>
      <w:r>
        <w:rPr>
          <w:rFonts w:hint="eastAsia" w:ascii="Times New Roman" w:hAnsi="Times New Roman" w:cs="Times New Roman"/>
          <w:sz w:val="28"/>
          <w:szCs w:val="28"/>
          <w:lang w:val="en-US" w:eastAsia="zh-CN"/>
        </w:rPr>
        <w:t>的</w:t>
      </w:r>
      <w:r>
        <w:rPr>
          <w:rFonts w:hint="default" w:ascii="Times New Roman" w:hAnsi="Times New Roman" w:cs="Times New Roman"/>
          <w:sz w:val="28"/>
          <w:szCs w:val="28"/>
        </w:rPr>
        <w:t>交互</w:t>
      </w:r>
      <w:r>
        <w:rPr>
          <w:rFonts w:hint="eastAsia" w:ascii="Times New Roman" w:hAnsi="Times New Roman" w:cs="Times New Roman"/>
          <w:sz w:val="28"/>
          <w:szCs w:val="28"/>
          <w:lang w:val="en-US" w:eastAsia="zh-CN"/>
        </w:rPr>
        <w:t>流程和内容，自动驾驶车辆到达锁站后，LSMS系统向FMS系统发送锁站状态信息、控制指令信息等，自动驾驶车辆通过FMS系统向LSMS发送车辆状态信息、指令执行结果信息等。</w:t>
      </w:r>
    </w:p>
    <w:p w14:paraId="7F1EB0FB">
      <w:pPr>
        <w:pStyle w:val="31"/>
        <w:ind w:firstLine="480"/>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本章节5.5节明确了</w:t>
      </w:r>
      <w:r>
        <w:rPr>
          <w:rFonts w:hint="default" w:ascii="Times New Roman" w:hAnsi="Times New Roman" w:cs="Times New Roman"/>
          <w:sz w:val="28"/>
          <w:szCs w:val="28"/>
        </w:rPr>
        <w:t>自动驾驶车辆与</w:t>
      </w:r>
      <w:r>
        <w:rPr>
          <w:rFonts w:hint="eastAsia" w:ascii="Times New Roman" w:hAnsi="Times New Roman" w:cs="Times New Roman"/>
          <w:sz w:val="28"/>
          <w:szCs w:val="28"/>
          <w:lang w:val="en-US" w:eastAsia="zh-CN"/>
        </w:rPr>
        <w:t>HCMS系统之间</w:t>
      </w:r>
      <w:r>
        <w:rPr>
          <w:rFonts w:hint="default" w:ascii="Times New Roman" w:hAnsi="Times New Roman" w:cs="Times New Roman"/>
          <w:sz w:val="28"/>
          <w:szCs w:val="28"/>
        </w:rPr>
        <w:t>管控数据</w:t>
      </w:r>
      <w:r>
        <w:rPr>
          <w:rFonts w:hint="eastAsia" w:ascii="Times New Roman" w:hAnsi="Times New Roman" w:cs="Times New Roman"/>
          <w:sz w:val="28"/>
          <w:szCs w:val="28"/>
          <w:lang w:val="en-US" w:eastAsia="zh-CN"/>
        </w:rPr>
        <w:t>的</w:t>
      </w:r>
      <w:r>
        <w:rPr>
          <w:rFonts w:hint="default" w:ascii="Times New Roman" w:hAnsi="Times New Roman" w:cs="Times New Roman"/>
          <w:sz w:val="28"/>
          <w:szCs w:val="28"/>
        </w:rPr>
        <w:t>交互</w:t>
      </w:r>
      <w:r>
        <w:rPr>
          <w:rFonts w:hint="eastAsia" w:ascii="Times New Roman" w:hAnsi="Times New Roman" w:cs="Times New Roman"/>
          <w:sz w:val="28"/>
          <w:szCs w:val="28"/>
          <w:lang w:val="en-US" w:eastAsia="zh-CN"/>
        </w:rPr>
        <w:t>流程和内容，TOS系统向FMS系统发送换电指令信息，HCMS系统向FMS发送换电站状态信息，需要换电的自动驾驶车辆到达换电站后，HMCS系统向FMS发送引导对位指令信息、换电启动状态信息、车辆驶离指令信息等，自动驾驶车辆通过FMS系统向HCMS反馈车辆到达信息、对位指令执行结果信息、车辆驶离信息等。</w:t>
      </w:r>
    </w:p>
    <w:p w14:paraId="78CCD3BB">
      <w:pPr>
        <w:pStyle w:val="31"/>
        <w:ind w:firstLine="562" w:firstLineChars="200"/>
        <w:outlineLvl w:val="2"/>
        <w:rPr>
          <w:rFonts w:hint="default" w:ascii="Times New Roman" w:hAnsi="Times New Roman" w:eastAsia="宋体" w:cs="Times New Roman"/>
          <w:b/>
          <w:sz w:val="28"/>
          <w:szCs w:val="28"/>
          <w:lang w:eastAsia="zh-CN"/>
        </w:rPr>
      </w:pPr>
      <w:bookmarkStart w:id="18" w:name="_Toc148605360"/>
      <w:bookmarkStart w:id="19" w:name="_Toc148605691"/>
      <w:r>
        <w:rPr>
          <w:rFonts w:hint="default" w:ascii="Times New Roman" w:hAnsi="Times New Roman" w:cs="Times New Roman"/>
          <w:b/>
          <w:sz w:val="28"/>
          <w:szCs w:val="28"/>
        </w:rPr>
        <w:t>7.</w:t>
      </w:r>
      <w:bookmarkEnd w:id="18"/>
      <w:bookmarkEnd w:id="19"/>
      <w:r>
        <w:rPr>
          <w:rFonts w:hint="default" w:ascii="Times New Roman" w:hAnsi="Times New Roman" w:cs="Times New Roman"/>
          <w:b/>
          <w:sz w:val="28"/>
          <w:szCs w:val="28"/>
          <w:lang w:val="en-US" w:eastAsia="zh-CN"/>
        </w:rPr>
        <w:t>数据接口</w:t>
      </w:r>
    </w:p>
    <w:p w14:paraId="64E39562">
      <w:pPr>
        <w:pStyle w:val="31"/>
        <w:ind w:firstLine="480"/>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本章节提出了自动驾驶车辆与各系统之间作业管控数据交互接口的兼容性、稳定性、时效性、有效性和扩展性等要求。</w:t>
      </w:r>
    </w:p>
    <w:p w14:paraId="11C66024">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【关键性条款说明】</w:t>
      </w:r>
    </w:p>
    <w:p w14:paraId="1398EAB4">
      <w:pPr>
        <w:pStyle w:val="31"/>
        <w:ind w:firstLine="480"/>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本章节6.1节明确了数据接口支持的通信协议、标准化数据格式、版本兼容性等要求。</w:t>
      </w:r>
    </w:p>
    <w:p w14:paraId="5C812EA0">
      <w:pPr>
        <w:pStyle w:val="31"/>
        <w:ind w:firstLine="480"/>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本章节6.2节明确了数据接口应支持集群部署、负载均衡、心跳检测、熔断机制等要求，具备容错与冗余能力。</w:t>
      </w:r>
    </w:p>
    <w:p w14:paraId="3C498F7E">
      <w:pPr>
        <w:pStyle w:val="31"/>
        <w:ind w:firstLine="480"/>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本章节6.3节明确了关键业务接口和非关键业务接口的响应时间、数据传输频率、高并发场景下任务队列上限以及批处理时间要求等。</w:t>
      </w:r>
    </w:p>
    <w:p w14:paraId="024C817B">
      <w:pPr>
        <w:pStyle w:val="31"/>
        <w:ind w:firstLine="480"/>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本章节6.4节明确了需要通过数据校验、字段值范围检查、二次确认或数字签名等技术手段确保数据有效性。</w:t>
      </w:r>
    </w:p>
    <w:p w14:paraId="75B5B290">
      <w:pPr>
        <w:pStyle w:val="31"/>
        <w:ind w:firstLine="480"/>
        <w:rPr>
          <w:rFonts w:hint="default" w:ascii="Times New Roman" w:hAnsi="Times New Roman" w:cs="Times New Roman"/>
          <w:sz w:val="28"/>
          <w:szCs w:val="28"/>
        </w:rPr>
      </w:pPr>
      <w:r>
        <w:rPr>
          <w:rFonts w:hint="eastAsia" w:ascii="Times New Roman" w:hAnsi="Times New Roman" w:cs="Times New Roman"/>
          <w:sz w:val="28"/>
          <w:szCs w:val="28"/>
          <w:lang w:val="en-US" w:eastAsia="zh-CN"/>
        </w:rPr>
        <w:t>本章节6.5节明确了数据接口的扩展能力要求，同时要预留扩展字段，兼容未来新增业务需求。</w:t>
      </w:r>
    </w:p>
    <w:p w14:paraId="09E6B289">
      <w:pPr>
        <w:pStyle w:val="31"/>
        <w:ind w:firstLine="562" w:firstLineChars="200"/>
        <w:outlineLvl w:val="2"/>
        <w:rPr>
          <w:rFonts w:hint="default" w:ascii="Times New Roman" w:hAnsi="Times New Roman" w:eastAsia="宋体" w:cs="Times New Roman"/>
          <w:b/>
          <w:sz w:val="28"/>
          <w:szCs w:val="28"/>
          <w:lang w:val="en-US" w:eastAsia="zh-CN"/>
        </w:rPr>
      </w:pPr>
      <w:r>
        <w:rPr>
          <w:rFonts w:hint="default" w:ascii="Times New Roman" w:hAnsi="Times New Roman" w:cs="Times New Roman"/>
          <w:b/>
          <w:sz w:val="28"/>
          <w:szCs w:val="28"/>
        </w:rPr>
        <w:t>8.</w:t>
      </w:r>
      <w:r>
        <w:rPr>
          <w:rFonts w:hint="default" w:ascii="Times New Roman" w:hAnsi="Times New Roman" w:cs="Times New Roman"/>
          <w:b/>
          <w:sz w:val="28"/>
          <w:szCs w:val="28"/>
          <w:lang w:val="en-US" w:eastAsia="zh-CN"/>
        </w:rPr>
        <w:t>数据安全</w:t>
      </w:r>
    </w:p>
    <w:p w14:paraId="6791E738">
      <w:pPr>
        <w:pStyle w:val="31"/>
        <w:ind w:firstLine="480"/>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本章节提出了数据存储和数据传输方面的安全要求。</w:t>
      </w:r>
    </w:p>
    <w:p w14:paraId="5586A504">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【关键性条款说明】</w:t>
      </w:r>
    </w:p>
    <w:p w14:paraId="0A3F1480">
      <w:pPr>
        <w:pStyle w:val="31"/>
        <w:ind w:firstLine="480"/>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本章节7.1节明确了数据存储相关的安全要求，主要包括敏感数据存储加密、密钥管理最小权限、密钥定期更新、基于角色的访问控制、数据访问操作监控、数据库审计、定期备份（含异地备份）、数据恢复、数据脱敏等相关安全要求。</w:t>
      </w:r>
    </w:p>
    <w:p w14:paraId="3B4938FD">
      <w:pPr>
        <w:pStyle w:val="31"/>
        <w:ind w:firstLine="480"/>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本章节7.2节明确了数据传输相关的安全要求，主要包括数据传输协议安全、传输加密、证书定期更新、双向认证、多因素认证、数字签名、哈希校验、时间戳和随机数、请求有效期、防火墙规则等相关安全要求。</w:t>
      </w:r>
    </w:p>
    <w:p w14:paraId="04606D9A">
      <w:pPr>
        <w:pStyle w:val="31"/>
        <w:ind w:firstLine="562" w:firstLineChars="200"/>
        <w:outlineLvl w:val="2"/>
        <w:rPr>
          <w:rFonts w:hint="default" w:ascii="Times New Roman" w:hAnsi="Times New Roman" w:cs="Times New Roman"/>
          <w:b/>
          <w:sz w:val="28"/>
          <w:szCs w:val="28"/>
        </w:rPr>
      </w:pPr>
      <w:r>
        <w:rPr>
          <w:rFonts w:hint="eastAsia" w:ascii="Times New Roman" w:hAnsi="Times New Roman" w:cs="Times New Roman"/>
          <w:b/>
          <w:sz w:val="28"/>
          <w:szCs w:val="28"/>
          <w:lang w:val="en-US" w:eastAsia="zh-CN"/>
        </w:rPr>
        <w:t>9</w:t>
      </w:r>
      <w:r>
        <w:rPr>
          <w:rFonts w:hint="default" w:ascii="Times New Roman" w:hAnsi="Times New Roman" w:cs="Times New Roman"/>
          <w:b/>
          <w:sz w:val="28"/>
          <w:szCs w:val="28"/>
        </w:rPr>
        <w:t>.附录</w:t>
      </w:r>
    </w:p>
    <w:p w14:paraId="025954E3">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本文件共包含5个规范性附录，分别为附录A：与TOS数据交互核心数据字段要求、附录B：与QCMS数据交互核心数据字段要求、附录C：与YCMS数据交互核心数据字段要求、附录D：与LSMS数据交互核心数据字段要求、附录E：与HMCS数据交互核心数据字段要求。</w:t>
      </w:r>
    </w:p>
    <w:p w14:paraId="381A34D3">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附录A：与TOS数据交互核心数据字段要求，与交调系统中自动化交调站编码规则保持一致，站点类型设置为E。</w:t>
      </w:r>
    </w:p>
    <w:p w14:paraId="60694A82">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附录B：与QCMS数据交互核心数据字段要求，规定了站点基础信息中核心字段录入的规范要求。</w:t>
      </w:r>
    </w:p>
    <w:p w14:paraId="425C557D">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附录C：与YCMS数据交互核心数据字段要求，给出了收费车型与交调车型的转换对应关系。其中，收费车型分类与JT/T 489《收费公路车辆通行费车型分类》保持一致，交调车型分类与JT/T 1008.1《公路交通情况调查设备 第1部分：技术条件》保持一致。</w:t>
      </w:r>
    </w:p>
    <w:p w14:paraId="6B486457">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附录D：与LSMS数据交互核心数据字段要求，规定了交调系统中ETC门架交调站5 min收费车型数据表格式和单车通行数据表格式。</w:t>
      </w:r>
    </w:p>
    <w:p w14:paraId="533E45D4">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附录E：与HMCS数据交互核心数据字段要求，规定了ETC门架数据进行传输的接口访问地址、访问方式；规定了ETC门架交调站5 min收费车型数据接口和单车通行数据接口的参数名称、参数类型和相应说明，并给出了输入地址、传输参数示例。</w:t>
      </w:r>
    </w:p>
    <w:p w14:paraId="719C47E4">
      <w:pPr>
        <w:pStyle w:val="4"/>
        <w:spacing w:before="156" w:beforeLines="50" w:after="0" w:line="360" w:lineRule="auto"/>
        <w:ind w:firstLine="562" w:firstLineChars="200"/>
        <w:rPr>
          <w:rFonts w:hint="default" w:ascii="Times New Roman" w:hAnsi="Times New Roman" w:cs="Times New Roman"/>
          <w:bCs w:val="0"/>
          <w:kern w:val="2"/>
          <w:sz w:val="28"/>
          <w:szCs w:val="28"/>
        </w:rPr>
      </w:pPr>
      <w:bookmarkStart w:id="20" w:name="_Toc161044372"/>
      <w:bookmarkStart w:id="21" w:name="_Toc7132"/>
      <w:r>
        <w:rPr>
          <w:rFonts w:hint="default" w:ascii="Times New Roman" w:hAnsi="Times New Roman" w:cs="Times New Roman"/>
          <w:bCs w:val="0"/>
          <w:kern w:val="2"/>
          <w:sz w:val="28"/>
          <w:szCs w:val="28"/>
        </w:rPr>
        <w:t>三、</w:t>
      </w:r>
      <w:bookmarkEnd w:id="20"/>
      <w:bookmarkEnd w:id="21"/>
      <w:r>
        <w:rPr>
          <w:rFonts w:hint="default" w:ascii="Times New Roman" w:hAnsi="Times New Roman" w:cs="Times New Roman"/>
          <w:bCs w:val="0"/>
          <w:kern w:val="2"/>
          <w:sz w:val="28"/>
          <w:szCs w:val="28"/>
        </w:rPr>
        <w:t>主要试验（或验证）的分析、综述报告，技术经济论证，预期的经济效果</w:t>
      </w:r>
    </w:p>
    <w:p w14:paraId="137EE6D3">
      <w:pPr>
        <w:pStyle w:val="47"/>
        <w:spacing w:line="360" w:lineRule="auto"/>
        <w:ind w:firstLine="480"/>
        <w:rPr>
          <w:rFonts w:hint="default" w:ascii="Times New Roman" w:hAnsi="Times New Roman" w:cs="Times New Roman"/>
          <w:sz w:val="28"/>
          <w:szCs w:val="28"/>
        </w:rPr>
      </w:pPr>
      <w:r>
        <w:rPr>
          <w:rFonts w:hint="default" w:ascii="Times New Roman" w:hAnsi="Times New Roman" w:cs="Times New Roman"/>
          <w:sz w:val="28"/>
          <w:szCs w:val="28"/>
        </w:rPr>
        <w:t>从节约建设成本、避免信息化设施重复建设、发挥数据资源应有价值效益角度，通过高速公路ETC门架采集到的收费数据转换为公路交调数据，以智能化手段代替传统硬件建设，优化资源配置，减少高速公路沿线交调站点的建设。同时，已有高速公路交调站点随着设备老化逐步淘汰，不再进行维护投入，可以大幅降低高速公路管理部门的交调建设成本和运行管理费用。</w:t>
      </w:r>
    </w:p>
    <w:p w14:paraId="2649A95A">
      <w:pPr>
        <w:pStyle w:val="4"/>
        <w:spacing w:before="156" w:beforeLines="50" w:after="0" w:line="360" w:lineRule="auto"/>
        <w:ind w:firstLine="562" w:firstLineChars="200"/>
        <w:rPr>
          <w:rFonts w:hint="default" w:ascii="Times New Roman" w:hAnsi="Times New Roman" w:cs="Times New Roman"/>
          <w:b w:val="0"/>
          <w:sz w:val="28"/>
          <w:szCs w:val="28"/>
        </w:rPr>
      </w:pPr>
      <w:bookmarkStart w:id="22" w:name="_Toc20173"/>
      <w:bookmarkStart w:id="23" w:name="_Toc161044373"/>
      <w:r>
        <w:rPr>
          <w:rFonts w:hint="default" w:ascii="Times New Roman" w:hAnsi="Times New Roman" w:cs="Times New Roman"/>
          <w:bCs w:val="0"/>
          <w:kern w:val="2"/>
          <w:sz w:val="28"/>
          <w:szCs w:val="28"/>
        </w:rPr>
        <w:t>四、采用国际标准和国外先进标准的程度</w:t>
      </w:r>
      <w:bookmarkEnd w:id="22"/>
      <w:bookmarkEnd w:id="23"/>
    </w:p>
    <w:p w14:paraId="72F2B098">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本文件未采用国际标准。</w:t>
      </w:r>
    </w:p>
    <w:p w14:paraId="7EEC8C66">
      <w:pPr>
        <w:pStyle w:val="4"/>
        <w:spacing w:before="156" w:beforeLines="50" w:after="0" w:line="360" w:lineRule="auto"/>
        <w:ind w:firstLine="562" w:firstLineChars="200"/>
        <w:rPr>
          <w:rFonts w:hint="default" w:ascii="Times New Roman" w:hAnsi="Times New Roman" w:cs="Times New Roman"/>
          <w:bCs w:val="0"/>
          <w:kern w:val="2"/>
          <w:sz w:val="28"/>
          <w:szCs w:val="28"/>
        </w:rPr>
      </w:pPr>
      <w:bookmarkStart w:id="24" w:name="_Toc161044374"/>
      <w:bookmarkStart w:id="25" w:name="_Toc31937"/>
      <w:r>
        <w:rPr>
          <w:rFonts w:hint="default" w:ascii="Times New Roman" w:hAnsi="Times New Roman" w:cs="Times New Roman"/>
          <w:bCs w:val="0"/>
          <w:kern w:val="2"/>
          <w:sz w:val="28"/>
          <w:szCs w:val="28"/>
        </w:rPr>
        <w:t>五、与有关的现行法律</w:t>
      </w:r>
      <w:r>
        <w:rPr>
          <w:rFonts w:hint="default" w:ascii="Times New Roman" w:hAnsi="Times New Roman" w:cs="Times New Roman"/>
          <w:bCs w:val="0"/>
          <w:kern w:val="2"/>
          <w:sz w:val="28"/>
          <w:szCs w:val="28"/>
          <w:lang w:eastAsia="zh-CN"/>
        </w:rPr>
        <w:t>、</w:t>
      </w:r>
      <w:r>
        <w:rPr>
          <w:rFonts w:hint="default" w:ascii="Times New Roman" w:hAnsi="Times New Roman" w:cs="Times New Roman"/>
          <w:bCs w:val="0"/>
          <w:kern w:val="2"/>
          <w:sz w:val="28"/>
          <w:szCs w:val="28"/>
        </w:rPr>
        <w:t>法规和强制性标准的关系</w:t>
      </w:r>
      <w:bookmarkEnd w:id="24"/>
      <w:bookmarkEnd w:id="25"/>
    </w:p>
    <w:p w14:paraId="53D32FAC">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本文件与现行法律法规，以及现有国家标准、行业标准无冲突和矛盾。</w:t>
      </w:r>
    </w:p>
    <w:p w14:paraId="7F9DC63C">
      <w:pPr>
        <w:pStyle w:val="4"/>
        <w:spacing w:before="156" w:beforeLines="50" w:after="0" w:line="360" w:lineRule="auto"/>
        <w:ind w:firstLine="562" w:firstLineChars="200"/>
        <w:rPr>
          <w:rFonts w:hint="default" w:ascii="Times New Roman" w:hAnsi="Times New Roman" w:cs="Times New Roman"/>
          <w:b w:val="0"/>
          <w:sz w:val="28"/>
          <w:szCs w:val="28"/>
        </w:rPr>
      </w:pPr>
      <w:bookmarkStart w:id="26" w:name="_Toc161044375"/>
      <w:bookmarkStart w:id="27" w:name="_Toc17342"/>
      <w:r>
        <w:rPr>
          <w:rFonts w:hint="default" w:ascii="Times New Roman" w:hAnsi="Times New Roman" w:cs="Times New Roman"/>
          <w:bCs w:val="0"/>
          <w:kern w:val="2"/>
          <w:sz w:val="28"/>
          <w:szCs w:val="28"/>
        </w:rPr>
        <w:t>六、重大分歧意见的处理经过和依据</w:t>
      </w:r>
      <w:bookmarkEnd w:id="26"/>
      <w:bookmarkEnd w:id="27"/>
    </w:p>
    <w:p w14:paraId="62CAE5DA">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无。</w:t>
      </w:r>
    </w:p>
    <w:p w14:paraId="78D8CDB5">
      <w:pPr>
        <w:pStyle w:val="4"/>
        <w:spacing w:before="156" w:beforeLines="50" w:after="0" w:line="360" w:lineRule="auto"/>
        <w:ind w:firstLine="562" w:firstLineChars="200"/>
        <w:rPr>
          <w:rFonts w:hint="default" w:ascii="Times New Roman" w:hAnsi="Times New Roman" w:cs="Times New Roman"/>
          <w:b w:val="0"/>
          <w:sz w:val="28"/>
          <w:szCs w:val="28"/>
        </w:rPr>
      </w:pPr>
      <w:bookmarkStart w:id="28" w:name="_Toc19628"/>
      <w:bookmarkStart w:id="29" w:name="_Toc161044376"/>
      <w:r>
        <w:rPr>
          <w:rFonts w:hint="default" w:ascii="Times New Roman" w:hAnsi="Times New Roman" w:cs="Times New Roman"/>
          <w:bCs w:val="0"/>
          <w:kern w:val="2"/>
          <w:sz w:val="28"/>
          <w:szCs w:val="28"/>
        </w:rPr>
        <w:t>七、</w:t>
      </w:r>
      <w:r>
        <w:rPr>
          <w:rFonts w:hint="default" w:ascii="Times New Roman" w:hAnsi="Times New Roman" w:cs="Times New Roman"/>
          <w:bCs w:val="0"/>
          <w:kern w:val="2"/>
          <w:sz w:val="28"/>
          <w:szCs w:val="28"/>
          <w:lang w:val="en-US" w:eastAsia="zh-CN"/>
        </w:rPr>
        <w:t>贯彻标准的要求和措施</w:t>
      </w:r>
      <w:r>
        <w:rPr>
          <w:rFonts w:hint="default" w:ascii="Times New Roman" w:hAnsi="Times New Roman" w:cs="Times New Roman"/>
          <w:bCs w:val="0"/>
          <w:kern w:val="2"/>
          <w:sz w:val="28"/>
          <w:szCs w:val="28"/>
        </w:rPr>
        <w:t>建议</w:t>
      </w:r>
      <w:bookmarkEnd w:id="28"/>
      <w:bookmarkEnd w:id="29"/>
    </w:p>
    <w:p w14:paraId="305890DE">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标准制定是标准化工作迈出的第一步，关键是标准的贯彻实施，需通过标准宣贯培训，切实推动标准在各</w:t>
      </w:r>
      <w:r>
        <w:rPr>
          <w:rFonts w:hint="default" w:ascii="Times New Roman" w:hAnsi="Times New Roman" w:cs="Times New Roman"/>
          <w:sz w:val="28"/>
          <w:szCs w:val="28"/>
          <w:lang w:val="en-US" w:eastAsia="zh-CN"/>
        </w:rPr>
        <w:t>港口集团码头</w:t>
      </w:r>
      <w:r>
        <w:rPr>
          <w:rFonts w:hint="default" w:ascii="Times New Roman" w:hAnsi="Times New Roman" w:cs="Times New Roman"/>
          <w:sz w:val="28"/>
          <w:szCs w:val="28"/>
        </w:rPr>
        <w:t>落地实施，并产生预期的社会和经济效益。在</w:t>
      </w:r>
      <w:r>
        <w:rPr>
          <w:rFonts w:hint="default" w:ascii="Times New Roman" w:hAnsi="Times New Roman" w:cs="Times New Roman"/>
          <w:sz w:val="28"/>
          <w:szCs w:val="28"/>
          <w:lang w:val="en-US" w:eastAsia="zh-CN"/>
        </w:rPr>
        <w:t>中国港口协会</w:t>
      </w:r>
      <w:r>
        <w:rPr>
          <w:rFonts w:hint="default" w:ascii="Times New Roman" w:hAnsi="Times New Roman" w:cs="Times New Roman"/>
          <w:sz w:val="28"/>
          <w:szCs w:val="28"/>
        </w:rPr>
        <w:t>的组织协调下，积极开展本标准的宣贯和培训，使得业务人员、管理人员和技术人员及时了解、熟悉本标准，充分发挥本标准的规范和指导作用。</w:t>
      </w:r>
    </w:p>
    <w:p w14:paraId="50BA4EB8">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考虑各</w:t>
      </w:r>
      <w:r>
        <w:rPr>
          <w:rFonts w:hint="default" w:ascii="Times New Roman" w:hAnsi="Times New Roman" w:cs="Times New Roman"/>
          <w:sz w:val="28"/>
          <w:szCs w:val="28"/>
          <w:lang w:val="en-US" w:eastAsia="zh-CN"/>
        </w:rPr>
        <w:t>港口集团</w:t>
      </w:r>
      <w:r>
        <w:rPr>
          <w:rFonts w:hint="default" w:ascii="Times New Roman" w:hAnsi="Times New Roman" w:cs="Times New Roman"/>
          <w:sz w:val="28"/>
          <w:szCs w:val="28"/>
        </w:rPr>
        <w:t>需要根据标准改造</w:t>
      </w:r>
      <w:r>
        <w:rPr>
          <w:rFonts w:hint="default" w:ascii="Times New Roman" w:hAnsi="Times New Roman" w:cs="Times New Roman"/>
          <w:sz w:val="28"/>
          <w:szCs w:val="28"/>
          <w:lang w:val="en-US" w:eastAsia="zh-CN"/>
        </w:rPr>
        <w:t>相关</w:t>
      </w:r>
      <w:r>
        <w:rPr>
          <w:rFonts w:hint="default" w:ascii="Times New Roman" w:hAnsi="Times New Roman" w:cs="Times New Roman"/>
          <w:sz w:val="28"/>
          <w:szCs w:val="28"/>
        </w:rPr>
        <w:t>系统相关数据接口，以及组织标准培训宣贯的时间，因此建议标准发布后</w:t>
      </w:r>
      <w:r>
        <w:rPr>
          <w:rFonts w:hint="default" w:ascii="Times New Roman" w:hAnsi="Times New Roman" w:cs="Times New Roman"/>
          <w:sz w:val="28"/>
          <w:szCs w:val="28"/>
          <w:lang w:val="en-US" w:eastAsia="zh-CN"/>
        </w:rPr>
        <w:t>六</w:t>
      </w:r>
      <w:r>
        <w:rPr>
          <w:rFonts w:hint="default" w:ascii="Times New Roman" w:hAnsi="Times New Roman" w:cs="Times New Roman"/>
          <w:sz w:val="28"/>
          <w:szCs w:val="28"/>
        </w:rPr>
        <w:t>个月实施。</w:t>
      </w:r>
    </w:p>
    <w:p w14:paraId="176B3461">
      <w:pPr>
        <w:pStyle w:val="4"/>
        <w:spacing w:before="156" w:beforeLines="50" w:after="0" w:line="360" w:lineRule="auto"/>
        <w:ind w:firstLine="562" w:firstLineChars="200"/>
        <w:rPr>
          <w:rFonts w:hint="default" w:ascii="Times New Roman" w:hAnsi="Times New Roman" w:cs="Times New Roman"/>
          <w:b w:val="0"/>
          <w:kern w:val="2"/>
          <w:sz w:val="28"/>
          <w:szCs w:val="28"/>
        </w:rPr>
      </w:pPr>
      <w:bookmarkStart w:id="30" w:name="_Toc161044377"/>
      <w:bookmarkStart w:id="31" w:name="_Toc26341"/>
      <w:r>
        <w:rPr>
          <w:rFonts w:hint="default" w:ascii="Times New Roman" w:hAnsi="Times New Roman" w:cs="Times New Roman"/>
          <w:bCs w:val="0"/>
          <w:kern w:val="2"/>
          <w:sz w:val="28"/>
          <w:szCs w:val="28"/>
        </w:rPr>
        <w:t>八、废止现行有关标准的建议</w:t>
      </w:r>
      <w:bookmarkEnd w:id="30"/>
      <w:bookmarkEnd w:id="31"/>
    </w:p>
    <w:p w14:paraId="06C53613">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无。</w:t>
      </w:r>
    </w:p>
    <w:p w14:paraId="6FAF3A65">
      <w:pPr>
        <w:pStyle w:val="4"/>
        <w:spacing w:before="156" w:beforeLines="50" w:after="0" w:line="360" w:lineRule="auto"/>
        <w:ind w:firstLine="562" w:firstLineChars="200"/>
        <w:rPr>
          <w:rFonts w:hint="default" w:ascii="Times New Roman" w:hAnsi="Times New Roman" w:cs="Times New Roman"/>
          <w:b w:val="0"/>
          <w:kern w:val="2"/>
          <w:sz w:val="28"/>
          <w:szCs w:val="28"/>
        </w:rPr>
      </w:pPr>
      <w:bookmarkStart w:id="32" w:name="_Toc19743"/>
      <w:bookmarkStart w:id="33" w:name="_Toc161044378"/>
      <w:r>
        <w:rPr>
          <w:rFonts w:hint="default" w:ascii="Times New Roman" w:hAnsi="Times New Roman" w:cs="Times New Roman"/>
          <w:bCs w:val="0"/>
          <w:kern w:val="2"/>
          <w:sz w:val="28"/>
          <w:szCs w:val="28"/>
        </w:rPr>
        <w:t>九、其他应予说明的事项</w:t>
      </w:r>
      <w:bookmarkEnd w:id="32"/>
      <w:bookmarkEnd w:id="33"/>
    </w:p>
    <w:p w14:paraId="306020F7">
      <w:pPr>
        <w:pStyle w:val="31"/>
        <w:ind w:firstLine="480"/>
        <w:rPr>
          <w:rFonts w:hint="default" w:ascii="Times New Roman" w:hAnsi="Times New Roman" w:cs="Times New Roman"/>
          <w:sz w:val="28"/>
          <w:szCs w:val="28"/>
        </w:rPr>
      </w:pPr>
      <w:r>
        <w:rPr>
          <w:rFonts w:hint="default" w:ascii="Times New Roman" w:hAnsi="Times New Roman" w:cs="Times New Roman"/>
          <w:sz w:val="28"/>
          <w:szCs w:val="28"/>
        </w:rPr>
        <w:t>本标准不涉及专利。</w:t>
      </w:r>
    </w:p>
    <w:sectPr>
      <w:footerReference r:id="rId4" w:type="default"/>
      <w:pgSz w:w="12240" w:h="15840"/>
      <w:pgMar w:top="1588" w:right="1814" w:bottom="1588" w:left="1814" w:header="720" w:footer="720" w:gutter="0"/>
      <w:pgNumType w:start="1"/>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203" w:usb1="288F0000" w:usb2="00000006" w:usb3="00000000" w:csb0="00040001" w:csb1="00000000"/>
  </w:font>
  <w:font w:name="Cambria Math">
    <w:panose1 w:val="02040503050406030204"/>
    <w:charset w:val="01"/>
    <w:family w:val="auto"/>
    <w:pitch w:val="variable"/>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B7150">
    <w:pPr>
      <w:pStyle w:val="13"/>
      <w:framePr w:wrap="around" w:vAnchor="text" w:hAnchor="margin" w:xAlign="center" w:y="1"/>
      <w:rPr>
        <w:rStyle w:val="21"/>
      </w:rPr>
    </w:pPr>
    <w:r>
      <w:rPr>
        <w:rStyle w:val="21"/>
      </w:rPr>
      <w:fldChar w:fldCharType="begin"/>
    </w:r>
    <w:r>
      <w:rPr>
        <w:rStyle w:val="21"/>
      </w:rPr>
      <w:instrText xml:space="preserve">PAGE  </w:instrText>
    </w:r>
    <w:r>
      <w:rPr>
        <w:rStyle w:val="21"/>
      </w:rPr>
      <w:fldChar w:fldCharType="end"/>
    </w:r>
  </w:p>
  <w:p w14:paraId="4946FA14">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277E2">
    <w:pPr>
      <w:pStyle w:val="13"/>
      <w:framePr w:wrap="around" w:vAnchor="text" w:hAnchor="margin" w:xAlign="center" w:y="1"/>
      <w:rPr>
        <w:rStyle w:val="21"/>
        <w:sz w:val="21"/>
        <w:szCs w:val="21"/>
      </w:rPr>
    </w:pPr>
    <w:r>
      <w:rPr>
        <w:rStyle w:val="21"/>
        <w:sz w:val="21"/>
        <w:szCs w:val="21"/>
      </w:rPr>
      <w:fldChar w:fldCharType="begin"/>
    </w:r>
    <w:r>
      <w:rPr>
        <w:rStyle w:val="21"/>
        <w:sz w:val="21"/>
        <w:szCs w:val="21"/>
      </w:rPr>
      <w:instrText xml:space="preserve">PAGE  </w:instrText>
    </w:r>
    <w:r>
      <w:rPr>
        <w:rStyle w:val="21"/>
        <w:sz w:val="21"/>
        <w:szCs w:val="21"/>
      </w:rPr>
      <w:fldChar w:fldCharType="separate"/>
    </w:r>
    <w:r>
      <w:rPr>
        <w:rStyle w:val="21"/>
        <w:sz w:val="21"/>
        <w:szCs w:val="21"/>
      </w:rPr>
      <w:t>15</w:t>
    </w:r>
    <w:r>
      <w:rPr>
        <w:rStyle w:val="21"/>
        <w:sz w:val="21"/>
        <w:szCs w:val="21"/>
      </w:rPr>
      <w:fldChar w:fldCharType="end"/>
    </w:r>
  </w:p>
  <w:p w14:paraId="223DE322">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B7286C"/>
    <w:multiLevelType w:val="multilevel"/>
    <w:tmpl w:val="03B7286C"/>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9"/>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wZGI3OTI0NWY2MmQ1Yzk5YzAxMjE1ZWVlNzlmNTYifQ=="/>
  </w:docVars>
  <w:rsids>
    <w:rsidRoot w:val="00EA34CB"/>
    <w:rsid w:val="0000055D"/>
    <w:rsid w:val="00002754"/>
    <w:rsid w:val="000031A7"/>
    <w:rsid w:val="00003292"/>
    <w:rsid w:val="00005E8F"/>
    <w:rsid w:val="00006B97"/>
    <w:rsid w:val="000148BB"/>
    <w:rsid w:val="00015E19"/>
    <w:rsid w:val="00016A4D"/>
    <w:rsid w:val="00017816"/>
    <w:rsid w:val="00021921"/>
    <w:rsid w:val="0002199C"/>
    <w:rsid w:val="00021B59"/>
    <w:rsid w:val="0002586B"/>
    <w:rsid w:val="0002714C"/>
    <w:rsid w:val="00032EBB"/>
    <w:rsid w:val="000330AF"/>
    <w:rsid w:val="00036558"/>
    <w:rsid w:val="0004086C"/>
    <w:rsid w:val="00040977"/>
    <w:rsid w:val="00040D22"/>
    <w:rsid w:val="000420E9"/>
    <w:rsid w:val="00042DC6"/>
    <w:rsid w:val="000504E2"/>
    <w:rsid w:val="000528D8"/>
    <w:rsid w:val="00054571"/>
    <w:rsid w:val="000552C0"/>
    <w:rsid w:val="0005538C"/>
    <w:rsid w:val="0005596A"/>
    <w:rsid w:val="000565E0"/>
    <w:rsid w:val="00056CBE"/>
    <w:rsid w:val="00061F3E"/>
    <w:rsid w:val="00062435"/>
    <w:rsid w:val="000625DD"/>
    <w:rsid w:val="00063316"/>
    <w:rsid w:val="0006544B"/>
    <w:rsid w:val="00065B17"/>
    <w:rsid w:val="00066C03"/>
    <w:rsid w:val="00066EB2"/>
    <w:rsid w:val="00070DF6"/>
    <w:rsid w:val="00070DFE"/>
    <w:rsid w:val="00074D74"/>
    <w:rsid w:val="0007612D"/>
    <w:rsid w:val="00076851"/>
    <w:rsid w:val="00077AE6"/>
    <w:rsid w:val="00080608"/>
    <w:rsid w:val="000808F1"/>
    <w:rsid w:val="00082504"/>
    <w:rsid w:val="00083C0A"/>
    <w:rsid w:val="0008520A"/>
    <w:rsid w:val="00086F2A"/>
    <w:rsid w:val="0008707E"/>
    <w:rsid w:val="000903DB"/>
    <w:rsid w:val="00095F84"/>
    <w:rsid w:val="00096097"/>
    <w:rsid w:val="00096DCE"/>
    <w:rsid w:val="00097D6C"/>
    <w:rsid w:val="000A3B1A"/>
    <w:rsid w:val="000A5D12"/>
    <w:rsid w:val="000A7945"/>
    <w:rsid w:val="000B1982"/>
    <w:rsid w:val="000B1CCE"/>
    <w:rsid w:val="000B2006"/>
    <w:rsid w:val="000B3AC4"/>
    <w:rsid w:val="000B3CD6"/>
    <w:rsid w:val="000C2837"/>
    <w:rsid w:val="000C4851"/>
    <w:rsid w:val="000C5482"/>
    <w:rsid w:val="000C65C4"/>
    <w:rsid w:val="000D019F"/>
    <w:rsid w:val="000D05D8"/>
    <w:rsid w:val="000D136E"/>
    <w:rsid w:val="000D1A6F"/>
    <w:rsid w:val="000D7AB7"/>
    <w:rsid w:val="000E01AC"/>
    <w:rsid w:val="000E2F52"/>
    <w:rsid w:val="000E35CC"/>
    <w:rsid w:val="000E4EEC"/>
    <w:rsid w:val="000E513E"/>
    <w:rsid w:val="000E56BB"/>
    <w:rsid w:val="000E620B"/>
    <w:rsid w:val="000F3018"/>
    <w:rsid w:val="000F3BA5"/>
    <w:rsid w:val="000F4656"/>
    <w:rsid w:val="000F466D"/>
    <w:rsid w:val="000F5185"/>
    <w:rsid w:val="000F54D9"/>
    <w:rsid w:val="000F5908"/>
    <w:rsid w:val="000F7690"/>
    <w:rsid w:val="001004AF"/>
    <w:rsid w:val="001009B7"/>
    <w:rsid w:val="00101421"/>
    <w:rsid w:val="0010387E"/>
    <w:rsid w:val="00107E93"/>
    <w:rsid w:val="00111F09"/>
    <w:rsid w:val="00113361"/>
    <w:rsid w:val="001138AD"/>
    <w:rsid w:val="0011446B"/>
    <w:rsid w:val="00120490"/>
    <w:rsid w:val="00120E91"/>
    <w:rsid w:val="00121C6F"/>
    <w:rsid w:val="00121D0C"/>
    <w:rsid w:val="00123A62"/>
    <w:rsid w:val="00124829"/>
    <w:rsid w:val="001251B2"/>
    <w:rsid w:val="00126E2A"/>
    <w:rsid w:val="00132AB5"/>
    <w:rsid w:val="001339A3"/>
    <w:rsid w:val="00133D22"/>
    <w:rsid w:val="001406E9"/>
    <w:rsid w:val="00140BA3"/>
    <w:rsid w:val="00143978"/>
    <w:rsid w:val="001450A8"/>
    <w:rsid w:val="00145E43"/>
    <w:rsid w:val="0014656D"/>
    <w:rsid w:val="00146735"/>
    <w:rsid w:val="00150631"/>
    <w:rsid w:val="0015228C"/>
    <w:rsid w:val="00152D87"/>
    <w:rsid w:val="00154214"/>
    <w:rsid w:val="00157343"/>
    <w:rsid w:val="001606A2"/>
    <w:rsid w:val="00160D54"/>
    <w:rsid w:val="00162CEF"/>
    <w:rsid w:val="001633BE"/>
    <w:rsid w:val="001637F9"/>
    <w:rsid w:val="00164681"/>
    <w:rsid w:val="001652B5"/>
    <w:rsid w:val="0016582F"/>
    <w:rsid w:val="001662D4"/>
    <w:rsid w:val="0016693E"/>
    <w:rsid w:val="00166A1A"/>
    <w:rsid w:val="00166D3F"/>
    <w:rsid w:val="00166FDD"/>
    <w:rsid w:val="0017468A"/>
    <w:rsid w:val="00174999"/>
    <w:rsid w:val="00177F0D"/>
    <w:rsid w:val="0018000E"/>
    <w:rsid w:val="0018295C"/>
    <w:rsid w:val="00182A42"/>
    <w:rsid w:val="001839CB"/>
    <w:rsid w:val="00184145"/>
    <w:rsid w:val="001843D7"/>
    <w:rsid w:val="0018731A"/>
    <w:rsid w:val="001879A9"/>
    <w:rsid w:val="00190606"/>
    <w:rsid w:val="00191A4E"/>
    <w:rsid w:val="00192C40"/>
    <w:rsid w:val="00193715"/>
    <w:rsid w:val="001A0C8C"/>
    <w:rsid w:val="001A0FE9"/>
    <w:rsid w:val="001A13BB"/>
    <w:rsid w:val="001A4F24"/>
    <w:rsid w:val="001B01A6"/>
    <w:rsid w:val="001B0579"/>
    <w:rsid w:val="001B0AA3"/>
    <w:rsid w:val="001B2E7F"/>
    <w:rsid w:val="001B61C3"/>
    <w:rsid w:val="001B7B3D"/>
    <w:rsid w:val="001C1A39"/>
    <w:rsid w:val="001C2012"/>
    <w:rsid w:val="001C27F4"/>
    <w:rsid w:val="001C4024"/>
    <w:rsid w:val="001C5162"/>
    <w:rsid w:val="001C5988"/>
    <w:rsid w:val="001D01E5"/>
    <w:rsid w:val="001D4514"/>
    <w:rsid w:val="001D6979"/>
    <w:rsid w:val="001E1631"/>
    <w:rsid w:val="001E21F0"/>
    <w:rsid w:val="001E6599"/>
    <w:rsid w:val="001E66F4"/>
    <w:rsid w:val="001F129D"/>
    <w:rsid w:val="001F2713"/>
    <w:rsid w:val="001F39F3"/>
    <w:rsid w:val="001F4691"/>
    <w:rsid w:val="001F55AC"/>
    <w:rsid w:val="001F67E1"/>
    <w:rsid w:val="001F6CBD"/>
    <w:rsid w:val="001F74C9"/>
    <w:rsid w:val="001F7E4C"/>
    <w:rsid w:val="00205BB3"/>
    <w:rsid w:val="002106C1"/>
    <w:rsid w:val="00212AB4"/>
    <w:rsid w:val="00214DBE"/>
    <w:rsid w:val="00217E24"/>
    <w:rsid w:val="00220348"/>
    <w:rsid w:val="002203ED"/>
    <w:rsid w:val="00224F37"/>
    <w:rsid w:val="00225288"/>
    <w:rsid w:val="002309AA"/>
    <w:rsid w:val="00230D8F"/>
    <w:rsid w:val="002313FD"/>
    <w:rsid w:val="002317F9"/>
    <w:rsid w:val="00233AC8"/>
    <w:rsid w:val="002345F2"/>
    <w:rsid w:val="002351A6"/>
    <w:rsid w:val="002356CC"/>
    <w:rsid w:val="002404B9"/>
    <w:rsid w:val="00243584"/>
    <w:rsid w:val="00243CAC"/>
    <w:rsid w:val="00243D14"/>
    <w:rsid w:val="00243E8C"/>
    <w:rsid w:val="00244569"/>
    <w:rsid w:val="002469B8"/>
    <w:rsid w:val="00247A06"/>
    <w:rsid w:val="002501BD"/>
    <w:rsid w:val="00250B2C"/>
    <w:rsid w:val="002518B0"/>
    <w:rsid w:val="00252500"/>
    <w:rsid w:val="00255905"/>
    <w:rsid w:val="00260036"/>
    <w:rsid w:val="0026173E"/>
    <w:rsid w:val="0026327E"/>
    <w:rsid w:val="00264391"/>
    <w:rsid w:val="002669A8"/>
    <w:rsid w:val="00266D6D"/>
    <w:rsid w:val="002749C4"/>
    <w:rsid w:val="002759C4"/>
    <w:rsid w:val="00276D66"/>
    <w:rsid w:val="002828C9"/>
    <w:rsid w:val="00283321"/>
    <w:rsid w:val="00284FF9"/>
    <w:rsid w:val="00285CD7"/>
    <w:rsid w:val="002868F6"/>
    <w:rsid w:val="00291428"/>
    <w:rsid w:val="0029230D"/>
    <w:rsid w:val="002931AB"/>
    <w:rsid w:val="002931D9"/>
    <w:rsid w:val="00296015"/>
    <w:rsid w:val="00296B4E"/>
    <w:rsid w:val="0029711A"/>
    <w:rsid w:val="002A2AA3"/>
    <w:rsid w:val="002A35C6"/>
    <w:rsid w:val="002A3708"/>
    <w:rsid w:val="002A3CF2"/>
    <w:rsid w:val="002A6B15"/>
    <w:rsid w:val="002A742B"/>
    <w:rsid w:val="002B06D5"/>
    <w:rsid w:val="002B0894"/>
    <w:rsid w:val="002B19F2"/>
    <w:rsid w:val="002B1F8F"/>
    <w:rsid w:val="002B326A"/>
    <w:rsid w:val="002B5959"/>
    <w:rsid w:val="002B604F"/>
    <w:rsid w:val="002C1123"/>
    <w:rsid w:val="002C142D"/>
    <w:rsid w:val="002C266E"/>
    <w:rsid w:val="002C2C91"/>
    <w:rsid w:val="002C3631"/>
    <w:rsid w:val="002C4D82"/>
    <w:rsid w:val="002C53D6"/>
    <w:rsid w:val="002D19BD"/>
    <w:rsid w:val="002D7282"/>
    <w:rsid w:val="002E00A4"/>
    <w:rsid w:val="002E08FB"/>
    <w:rsid w:val="002E37AB"/>
    <w:rsid w:val="002E708A"/>
    <w:rsid w:val="002E7E70"/>
    <w:rsid w:val="002F04E3"/>
    <w:rsid w:val="002F11E7"/>
    <w:rsid w:val="002F5289"/>
    <w:rsid w:val="002F6CB9"/>
    <w:rsid w:val="0030056D"/>
    <w:rsid w:val="00301D4F"/>
    <w:rsid w:val="00302AD4"/>
    <w:rsid w:val="00303F99"/>
    <w:rsid w:val="00310399"/>
    <w:rsid w:val="003120E8"/>
    <w:rsid w:val="00313A2F"/>
    <w:rsid w:val="00315BC7"/>
    <w:rsid w:val="003173A7"/>
    <w:rsid w:val="00317C6B"/>
    <w:rsid w:val="00322FE1"/>
    <w:rsid w:val="00327168"/>
    <w:rsid w:val="00327F1D"/>
    <w:rsid w:val="003335D7"/>
    <w:rsid w:val="003376C3"/>
    <w:rsid w:val="0034155D"/>
    <w:rsid w:val="003422AF"/>
    <w:rsid w:val="00342FBA"/>
    <w:rsid w:val="00343293"/>
    <w:rsid w:val="00351D6D"/>
    <w:rsid w:val="00352B75"/>
    <w:rsid w:val="003537AF"/>
    <w:rsid w:val="00354064"/>
    <w:rsid w:val="0035443F"/>
    <w:rsid w:val="00354A7C"/>
    <w:rsid w:val="0036035A"/>
    <w:rsid w:val="003607D0"/>
    <w:rsid w:val="00362F39"/>
    <w:rsid w:val="00363912"/>
    <w:rsid w:val="0036494E"/>
    <w:rsid w:val="00365AC7"/>
    <w:rsid w:val="00367460"/>
    <w:rsid w:val="003675C2"/>
    <w:rsid w:val="00370C71"/>
    <w:rsid w:val="00372648"/>
    <w:rsid w:val="003731D5"/>
    <w:rsid w:val="00375637"/>
    <w:rsid w:val="003763CF"/>
    <w:rsid w:val="00376A3A"/>
    <w:rsid w:val="00380755"/>
    <w:rsid w:val="00381A5D"/>
    <w:rsid w:val="00381FAF"/>
    <w:rsid w:val="00382343"/>
    <w:rsid w:val="00385C5D"/>
    <w:rsid w:val="00387ADD"/>
    <w:rsid w:val="003900BC"/>
    <w:rsid w:val="00390DCF"/>
    <w:rsid w:val="00393141"/>
    <w:rsid w:val="00395382"/>
    <w:rsid w:val="003955CD"/>
    <w:rsid w:val="003958C5"/>
    <w:rsid w:val="00397528"/>
    <w:rsid w:val="00397774"/>
    <w:rsid w:val="003B2B30"/>
    <w:rsid w:val="003B36FB"/>
    <w:rsid w:val="003B385C"/>
    <w:rsid w:val="003B443B"/>
    <w:rsid w:val="003C0D2A"/>
    <w:rsid w:val="003C1063"/>
    <w:rsid w:val="003C446F"/>
    <w:rsid w:val="003D0E9F"/>
    <w:rsid w:val="003D112B"/>
    <w:rsid w:val="003D16BF"/>
    <w:rsid w:val="003D1D99"/>
    <w:rsid w:val="003D6584"/>
    <w:rsid w:val="003D6843"/>
    <w:rsid w:val="003D6AB3"/>
    <w:rsid w:val="003E6D42"/>
    <w:rsid w:val="003E7BFB"/>
    <w:rsid w:val="003F0C58"/>
    <w:rsid w:val="003F1EDB"/>
    <w:rsid w:val="003F2149"/>
    <w:rsid w:val="003F25C2"/>
    <w:rsid w:val="003F2FF6"/>
    <w:rsid w:val="003F37A8"/>
    <w:rsid w:val="003F5A87"/>
    <w:rsid w:val="00400C05"/>
    <w:rsid w:val="00400D24"/>
    <w:rsid w:val="00404B55"/>
    <w:rsid w:val="00405178"/>
    <w:rsid w:val="004055A7"/>
    <w:rsid w:val="00406F8C"/>
    <w:rsid w:val="004073A2"/>
    <w:rsid w:val="00407B35"/>
    <w:rsid w:val="00407F0E"/>
    <w:rsid w:val="00411044"/>
    <w:rsid w:val="00414F58"/>
    <w:rsid w:val="00414FAB"/>
    <w:rsid w:val="0041532C"/>
    <w:rsid w:val="00416498"/>
    <w:rsid w:val="004176B7"/>
    <w:rsid w:val="004206C4"/>
    <w:rsid w:val="00421C75"/>
    <w:rsid w:val="004252F4"/>
    <w:rsid w:val="00425B3C"/>
    <w:rsid w:val="00443320"/>
    <w:rsid w:val="0044485A"/>
    <w:rsid w:val="00452D69"/>
    <w:rsid w:val="00453D63"/>
    <w:rsid w:val="00454FC8"/>
    <w:rsid w:val="00456F2B"/>
    <w:rsid w:val="00460796"/>
    <w:rsid w:val="004623D8"/>
    <w:rsid w:val="004634EC"/>
    <w:rsid w:val="00463E76"/>
    <w:rsid w:val="00463EFB"/>
    <w:rsid w:val="00464249"/>
    <w:rsid w:val="0046534E"/>
    <w:rsid w:val="00470213"/>
    <w:rsid w:val="004704C1"/>
    <w:rsid w:val="00470C20"/>
    <w:rsid w:val="004710BB"/>
    <w:rsid w:val="004741D0"/>
    <w:rsid w:val="00477EEB"/>
    <w:rsid w:val="00485095"/>
    <w:rsid w:val="00486D39"/>
    <w:rsid w:val="00491926"/>
    <w:rsid w:val="004932A4"/>
    <w:rsid w:val="004935C6"/>
    <w:rsid w:val="004A056B"/>
    <w:rsid w:val="004A1D38"/>
    <w:rsid w:val="004A4588"/>
    <w:rsid w:val="004A4E02"/>
    <w:rsid w:val="004A52A6"/>
    <w:rsid w:val="004A5C4A"/>
    <w:rsid w:val="004A64D0"/>
    <w:rsid w:val="004A6FF9"/>
    <w:rsid w:val="004B1193"/>
    <w:rsid w:val="004B1332"/>
    <w:rsid w:val="004B1D99"/>
    <w:rsid w:val="004B229C"/>
    <w:rsid w:val="004B231E"/>
    <w:rsid w:val="004B6C7F"/>
    <w:rsid w:val="004C17C2"/>
    <w:rsid w:val="004C602D"/>
    <w:rsid w:val="004D632A"/>
    <w:rsid w:val="004D69FF"/>
    <w:rsid w:val="004D7CB6"/>
    <w:rsid w:val="004E1469"/>
    <w:rsid w:val="004E3E0D"/>
    <w:rsid w:val="004E4750"/>
    <w:rsid w:val="004E515E"/>
    <w:rsid w:val="004E660D"/>
    <w:rsid w:val="004E7F94"/>
    <w:rsid w:val="004F0B86"/>
    <w:rsid w:val="004F3127"/>
    <w:rsid w:val="004F3A42"/>
    <w:rsid w:val="004F699D"/>
    <w:rsid w:val="00502AD0"/>
    <w:rsid w:val="00502D0E"/>
    <w:rsid w:val="00517E68"/>
    <w:rsid w:val="00524CBF"/>
    <w:rsid w:val="00526749"/>
    <w:rsid w:val="00530257"/>
    <w:rsid w:val="00530D72"/>
    <w:rsid w:val="00531C41"/>
    <w:rsid w:val="0053263F"/>
    <w:rsid w:val="00532CC2"/>
    <w:rsid w:val="005356CB"/>
    <w:rsid w:val="00536916"/>
    <w:rsid w:val="00537087"/>
    <w:rsid w:val="005379EF"/>
    <w:rsid w:val="00541CB9"/>
    <w:rsid w:val="005425E1"/>
    <w:rsid w:val="00547810"/>
    <w:rsid w:val="00550580"/>
    <w:rsid w:val="00554B9B"/>
    <w:rsid w:val="00554CD0"/>
    <w:rsid w:val="005565AF"/>
    <w:rsid w:val="0056022E"/>
    <w:rsid w:val="00561FFA"/>
    <w:rsid w:val="0056470E"/>
    <w:rsid w:val="00567290"/>
    <w:rsid w:val="005728C3"/>
    <w:rsid w:val="0057455B"/>
    <w:rsid w:val="0057502F"/>
    <w:rsid w:val="0057513F"/>
    <w:rsid w:val="0058185D"/>
    <w:rsid w:val="0058198F"/>
    <w:rsid w:val="00585462"/>
    <w:rsid w:val="00586317"/>
    <w:rsid w:val="005869C9"/>
    <w:rsid w:val="005875C8"/>
    <w:rsid w:val="0059054F"/>
    <w:rsid w:val="005909F8"/>
    <w:rsid w:val="0059149D"/>
    <w:rsid w:val="00592BCF"/>
    <w:rsid w:val="005945F1"/>
    <w:rsid w:val="00595DCD"/>
    <w:rsid w:val="0059662A"/>
    <w:rsid w:val="005A5E24"/>
    <w:rsid w:val="005A703B"/>
    <w:rsid w:val="005A7F38"/>
    <w:rsid w:val="005B08D5"/>
    <w:rsid w:val="005B0B2C"/>
    <w:rsid w:val="005B1CD6"/>
    <w:rsid w:val="005B6150"/>
    <w:rsid w:val="005C0055"/>
    <w:rsid w:val="005C0E4D"/>
    <w:rsid w:val="005C4200"/>
    <w:rsid w:val="005C46D0"/>
    <w:rsid w:val="005C7251"/>
    <w:rsid w:val="005C75F4"/>
    <w:rsid w:val="005D15D9"/>
    <w:rsid w:val="005D3217"/>
    <w:rsid w:val="005D3B73"/>
    <w:rsid w:val="005D56E3"/>
    <w:rsid w:val="005D7353"/>
    <w:rsid w:val="005E33ED"/>
    <w:rsid w:val="005E38A0"/>
    <w:rsid w:val="005E631A"/>
    <w:rsid w:val="005E7B01"/>
    <w:rsid w:val="005F22B1"/>
    <w:rsid w:val="005F2AA6"/>
    <w:rsid w:val="005F4297"/>
    <w:rsid w:val="005F7A8E"/>
    <w:rsid w:val="00605F58"/>
    <w:rsid w:val="006075D2"/>
    <w:rsid w:val="00610267"/>
    <w:rsid w:val="006152FE"/>
    <w:rsid w:val="006163E1"/>
    <w:rsid w:val="00616EE2"/>
    <w:rsid w:val="00617A0E"/>
    <w:rsid w:val="00617D8F"/>
    <w:rsid w:val="0062126F"/>
    <w:rsid w:val="00622644"/>
    <w:rsid w:val="006239F3"/>
    <w:rsid w:val="00625680"/>
    <w:rsid w:val="0062665C"/>
    <w:rsid w:val="006273DC"/>
    <w:rsid w:val="00630D1E"/>
    <w:rsid w:val="006360BC"/>
    <w:rsid w:val="0063612F"/>
    <w:rsid w:val="006373FF"/>
    <w:rsid w:val="006376D1"/>
    <w:rsid w:val="00642A45"/>
    <w:rsid w:val="006439AA"/>
    <w:rsid w:val="00643EC0"/>
    <w:rsid w:val="00644505"/>
    <w:rsid w:val="00645703"/>
    <w:rsid w:val="00645E00"/>
    <w:rsid w:val="006468AE"/>
    <w:rsid w:val="0065019D"/>
    <w:rsid w:val="00650268"/>
    <w:rsid w:val="006505B1"/>
    <w:rsid w:val="00650CD3"/>
    <w:rsid w:val="00654760"/>
    <w:rsid w:val="00661B0F"/>
    <w:rsid w:val="006622ED"/>
    <w:rsid w:val="0066364F"/>
    <w:rsid w:val="00664F9D"/>
    <w:rsid w:val="00666707"/>
    <w:rsid w:val="006675F9"/>
    <w:rsid w:val="00667E46"/>
    <w:rsid w:val="00677784"/>
    <w:rsid w:val="00677EA5"/>
    <w:rsid w:val="00681DCD"/>
    <w:rsid w:val="00683095"/>
    <w:rsid w:val="00685227"/>
    <w:rsid w:val="00687133"/>
    <w:rsid w:val="0068739E"/>
    <w:rsid w:val="00693B41"/>
    <w:rsid w:val="00693C3D"/>
    <w:rsid w:val="00694CF1"/>
    <w:rsid w:val="00696F0B"/>
    <w:rsid w:val="006A17A9"/>
    <w:rsid w:val="006A23B4"/>
    <w:rsid w:val="006A39ED"/>
    <w:rsid w:val="006A5FA0"/>
    <w:rsid w:val="006B21C2"/>
    <w:rsid w:val="006B4F0D"/>
    <w:rsid w:val="006B712D"/>
    <w:rsid w:val="006C01CC"/>
    <w:rsid w:val="006C0233"/>
    <w:rsid w:val="006C0802"/>
    <w:rsid w:val="006C10CC"/>
    <w:rsid w:val="006C2D06"/>
    <w:rsid w:val="006C31C6"/>
    <w:rsid w:val="006C4E57"/>
    <w:rsid w:val="006C5EFC"/>
    <w:rsid w:val="006C6549"/>
    <w:rsid w:val="006C698F"/>
    <w:rsid w:val="006D0F34"/>
    <w:rsid w:val="006D1AAB"/>
    <w:rsid w:val="006D2A5C"/>
    <w:rsid w:val="006D2F84"/>
    <w:rsid w:val="006D3AFC"/>
    <w:rsid w:val="006D5B8A"/>
    <w:rsid w:val="006E0E6F"/>
    <w:rsid w:val="006E1DE1"/>
    <w:rsid w:val="006E49F8"/>
    <w:rsid w:val="006F0F74"/>
    <w:rsid w:val="006F1677"/>
    <w:rsid w:val="006F1F85"/>
    <w:rsid w:val="006F4F88"/>
    <w:rsid w:val="006F6F18"/>
    <w:rsid w:val="006F772B"/>
    <w:rsid w:val="00701229"/>
    <w:rsid w:val="00701335"/>
    <w:rsid w:val="007013BD"/>
    <w:rsid w:val="00701E52"/>
    <w:rsid w:val="00703919"/>
    <w:rsid w:val="007045FC"/>
    <w:rsid w:val="007047D0"/>
    <w:rsid w:val="00706337"/>
    <w:rsid w:val="00711B45"/>
    <w:rsid w:val="00712602"/>
    <w:rsid w:val="0071533B"/>
    <w:rsid w:val="0071563E"/>
    <w:rsid w:val="00716A34"/>
    <w:rsid w:val="00717F55"/>
    <w:rsid w:val="007235DD"/>
    <w:rsid w:val="0072498A"/>
    <w:rsid w:val="00724B22"/>
    <w:rsid w:val="00730454"/>
    <w:rsid w:val="0073079A"/>
    <w:rsid w:val="00730866"/>
    <w:rsid w:val="00731BA4"/>
    <w:rsid w:val="0073244E"/>
    <w:rsid w:val="00732D11"/>
    <w:rsid w:val="00747FE4"/>
    <w:rsid w:val="00753DC0"/>
    <w:rsid w:val="00754C00"/>
    <w:rsid w:val="00756EC8"/>
    <w:rsid w:val="0075777C"/>
    <w:rsid w:val="00760129"/>
    <w:rsid w:val="0076051E"/>
    <w:rsid w:val="007606E4"/>
    <w:rsid w:val="0076343E"/>
    <w:rsid w:val="00763F80"/>
    <w:rsid w:val="0076452E"/>
    <w:rsid w:val="00764F3D"/>
    <w:rsid w:val="007663A0"/>
    <w:rsid w:val="00766C29"/>
    <w:rsid w:val="00772ED1"/>
    <w:rsid w:val="00773046"/>
    <w:rsid w:val="0077306E"/>
    <w:rsid w:val="007733E1"/>
    <w:rsid w:val="00773BFA"/>
    <w:rsid w:val="007752A4"/>
    <w:rsid w:val="007768A8"/>
    <w:rsid w:val="00777248"/>
    <w:rsid w:val="00780AB1"/>
    <w:rsid w:val="00781BB3"/>
    <w:rsid w:val="00785BD2"/>
    <w:rsid w:val="00785E1F"/>
    <w:rsid w:val="00790530"/>
    <w:rsid w:val="00792C87"/>
    <w:rsid w:val="00792E80"/>
    <w:rsid w:val="00793441"/>
    <w:rsid w:val="0079442B"/>
    <w:rsid w:val="00794B9F"/>
    <w:rsid w:val="007977EC"/>
    <w:rsid w:val="007A383D"/>
    <w:rsid w:val="007A5FFE"/>
    <w:rsid w:val="007B0103"/>
    <w:rsid w:val="007B12E0"/>
    <w:rsid w:val="007B2969"/>
    <w:rsid w:val="007B2ABE"/>
    <w:rsid w:val="007B2B63"/>
    <w:rsid w:val="007B2B85"/>
    <w:rsid w:val="007B31E4"/>
    <w:rsid w:val="007B3FFE"/>
    <w:rsid w:val="007B4362"/>
    <w:rsid w:val="007B545F"/>
    <w:rsid w:val="007C117D"/>
    <w:rsid w:val="007C2B14"/>
    <w:rsid w:val="007C393D"/>
    <w:rsid w:val="007C4FEB"/>
    <w:rsid w:val="007C5269"/>
    <w:rsid w:val="007C5EB9"/>
    <w:rsid w:val="007C6899"/>
    <w:rsid w:val="007C79AA"/>
    <w:rsid w:val="007D31FB"/>
    <w:rsid w:val="007D3CF1"/>
    <w:rsid w:val="007D43E6"/>
    <w:rsid w:val="007D798C"/>
    <w:rsid w:val="007E1940"/>
    <w:rsid w:val="007E2231"/>
    <w:rsid w:val="007E53D8"/>
    <w:rsid w:val="007E5C2C"/>
    <w:rsid w:val="007E62E1"/>
    <w:rsid w:val="007F012D"/>
    <w:rsid w:val="007F03EC"/>
    <w:rsid w:val="007F0D76"/>
    <w:rsid w:val="007F10FD"/>
    <w:rsid w:val="007F1E44"/>
    <w:rsid w:val="007F23F6"/>
    <w:rsid w:val="007F5150"/>
    <w:rsid w:val="007F5E59"/>
    <w:rsid w:val="007F688F"/>
    <w:rsid w:val="007F7248"/>
    <w:rsid w:val="007F7689"/>
    <w:rsid w:val="008006A9"/>
    <w:rsid w:val="00800A3D"/>
    <w:rsid w:val="00802B79"/>
    <w:rsid w:val="00802BB4"/>
    <w:rsid w:val="00803B26"/>
    <w:rsid w:val="008049EB"/>
    <w:rsid w:val="00804E13"/>
    <w:rsid w:val="00806907"/>
    <w:rsid w:val="00810C56"/>
    <w:rsid w:val="008122AF"/>
    <w:rsid w:val="00814948"/>
    <w:rsid w:val="008170A0"/>
    <w:rsid w:val="0081747B"/>
    <w:rsid w:val="0082631F"/>
    <w:rsid w:val="00831CA2"/>
    <w:rsid w:val="0083261B"/>
    <w:rsid w:val="00832774"/>
    <w:rsid w:val="0083334E"/>
    <w:rsid w:val="008342F0"/>
    <w:rsid w:val="008354B3"/>
    <w:rsid w:val="00835F6E"/>
    <w:rsid w:val="008429E5"/>
    <w:rsid w:val="0084528E"/>
    <w:rsid w:val="00846369"/>
    <w:rsid w:val="00846964"/>
    <w:rsid w:val="0085255A"/>
    <w:rsid w:val="00854DD4"/>
    <w:rsid w:val="00856DFB"/>
    <w:rsid w:val="0086091B"/>
    <w:rsid w:val="00863517"/>
    <w:rsid w:val="00864CC1"/>
    <w:rsid w:val="00865D2F"/>
    <w:rsid w:val="0087066B"/>
    <w:rsid w:val="00874787"/>
    <w:rsid w:val="00874DBA"/>
    <w:rsid w:val="00875F2F"/>
    <w:rsid w:val="00876A72"/>
    <w:rsid w:val="008801F0"/>
    <w:rsid w:val="00881939"/>
    <w:rsid w:val="0088243A"/>
    <w:rsid w:val="008828B4"/>
    <w:rsid w:val="00883A81"/>
    <w:rsid w:val="00890868"/>
    <w:rsid w:val="00890F5D"/>
    <w:rsid w:val="00893106"/>
    <w:rsid w:val="00893EAE"/>
    <w:rsid w:val="008960AA"/>
    <w:rsid w:val="008965ED"/>
    <w:rsid w:val="00897959"/>
    <w:rsid w:val="008A3276"/>
    <w:rsid w:val="008A3942"/>
    <w:rsid w:val="008A4513"/>
    <w:rsid w:val="008A5B1F"/>
    <w:rsid w:val="008A7504"/>
    <w:rsid w:val="008A78E5"/>
    <w:rsid w:val="008B26F0"/>
    <w:rsid w:val="008B3892"/>
    <w:rsid w:val="008B430B"/>
    <w:rsid w:val="008C08A2"/>
    <w:rsid w:val="008C170C"/>
    <w:rsid w:val="008C2609"/>
    <w:rsid w:val="008C3BA7"/>
    <w:rsid w:val="008C4384"/>
    <w:rsid w:val="008C5356"/>
    <w:rsid w:val="008C737C"/>
    <w:rsid w:val="008D50D3"/>
    <w:rsid w:val="008D6100"/>
    <w:rsid w:val="008D67D6"/>
    <w:rsid w:val="008E000E"/>
    <w:rsid w:val="008E1850"/>
    <w:rsid w:val="008E198E"/>
    <w:rsid w:val="008E1FEF"/>
    <w:rsid w:val="008E450F"/>
    <w:rsid w:val="008E611D"/>
    <w:rsid w:val="008F0188"/>
    <w:rsid w:val="008F0815"/>
    <w:rsid w:val="008F4C26"/>
    <w:rsid w:val="008F55BD"/>
    <w:rsid w:val="008F76F8"/>
    <w:rsid w:val="008F78EB"/>
    <w:rsid w:val="00900B19"/>
    <w:rsid w:val="009010FF"/>
    <w:rsid w:val="00902994"/>
    <w:rsid w:val="00906E11"/>
    <w:rsid w:val="00906E5B"/>
    <w:rsid w:val="0091101D"/>
    <w:rsid w:val="00911F24"/>
    <w:rsid w:val="00913D48"/>
    <w:rsid w:val="00914093"/>
    <w:rsid w:val="009175E4"/>
    <w:rsid w:val="009178E7"/>
    <w:rsid w:val="00923544"/>
    <w:rsid w:val="00923C9F"/>
    <w:rsid w:val="009241CE"/>
    <w:rsid w:val="00926120"/>
    <w:rsid w:val="0093149F"/>
    <w:rsid w:val="00936F75"/>
    <w:rsid w:val="0094655C"/>
    <w:rsid w:val="00946F6F"/>
    <w:rsid w:val="0095032A"/>
    <w:rsid w:val="009525A7"/>
    <w:rsid w:val="009525E3"/>
    <w:rsid w:val="00953FA5"/>
    <w:rsid w:val="00953FD4"/>
    <w:rsid w:val="00955FB7"/>
    <w:rsid w:val="00961F11"/>
    <w:rsid w:val="009633F1"/>
    <w:rsid w:val="00963DBD"/>
    <w:rsid w:val="00964935"/>
    <w:rsid w:val="00967D09"/>
    <w:rsid w:val="00971758"/>
    <w:rsid w:val="0097655A"/>
    <w:rsid w:val="00976AD0"/>
    <w:rsid w:val="0097721E"/>
    <w:rsid w:val="00981009"/>
    <w:rsid w:val="009813C4"/>
    <w:rsid w:val="00981E43"/>
    <w:rsid w:val="0098207B"/>
    <w:rsid w:val="00984783"/>
    <w:rsid w:val="00985CC9"/>
    <w:rsid w:val="00986B9A"/>
    <w:rsid w:val="009874E2"/>
    <w:rsid w:val="009941A4"/>
    <w:rsid w:val="00995A83"/>
    <w:rsid w:val="00997208"/>
    <w:rsid w:val="009A04DB"/>
    <w:rsid w:val="009A1903"/>
    <w:rsid w:val="009A2651"/>
    <w:rsid w:val="009A279B"/>
    <w:rsid w:val="009A4C44"/>
    <w:rsid w:val="009A540D"/>
    <w:rsid w:val="009B1CDB"/>
    <w:rsid w:val="009B3BB4"/>
    <w:rsid w:val="009B5EB8"/>
    <w:rsid w:val="009C00DE"/>
    <w:rsid w:val="009C0515"/>
    <w:rsid w:val="009C1E47"/>
    <w:rsid w:val="009C2427"/>
    <w:rsid w:val="009C54EE"/>
    <w:rsid w:val="009C6BF4"/>
    <w:rsid w:val="009C7DAB"/>
    <w:rsid w:val="009D09C7"/>
    <w:rsid w:val="009D10B1"/>
    <w:rsid w:val="009D36BA"/>
    <w:rsid w:val="009D4ADC"/>
    <w:rsid w:val="009D4BC8"/>
    <w:rsid w:val="009D5031"/>
    <w:rsid w:val="009D57C3"/>
    <w:rsid w:val="009D6C0E"/>
    <w:rsid w:val="009E09B8"/>
    <w:rsid w:val="009E204D"/>
    <w:rsid w:val="009E2785"/>
    <w:rsid w:val="009E4F1C"/>
    <w:rsid w:val="009E5A5C"/>
    <w:rsid w:val="009F25B1"/>
    <w:rsid w:val="009F45BE"/>
    <w:rsid w:val="009F5673"/>
    <w:rsid w:val="009F5F50"/>
    <w:rsid w:val="009F6474"/>
    <w:rsid w:val="009F760C"/>
    <w:rsid w:val="00A00458"/>
    <w:rsid w:val="00A00AF2"/>
    <w:rsid w:val="00A00BB4"/>
    <w:rsid w:val="00A0108D"/>
    <w:rsid w:val="00A01EE5"/>
    <w:rsid w:val="00A03A70"/>
    <w:rsid w:val="00A03FE6"/>
    <w:rsid w:val="00A05B88"/>
    <w:rsid w:val="00A07449"/>
    <w:rsid w:val="00A07BBE"/>
    <w:rsid w:val="00A10DCF"/>
    <w:rsid w:val="00A1381E"/>
    <w:rsid w:val="00A17607"/>
    <w:rsid w:val="00A242D1"/>
    <w:rsid w:val="00A24C45"/>
    <w:rsid w:val="00A24DE8"/>
    <w:rsid w:val="00A2544C"/>
    <w:rsid w:val="00A2606F"/>
    <w:rsid w:val="00A27A68"/>
    <w:rsid w:val="00A27E56"/>
    <w:rsid w:val="00A27F44"/>
    <w:rsid w:val="00A317C8"/>
    <w:rsid w:val="00A3309B"/>
    <w:rsid w:val="00A370A5"/>
    <w:rsid w:val="00A3735B"/>
    <w:rsid w:val="00A42557"/>
    <w:rsid w:val="00A42CE3"/>
    <w:rsid w:val="00A44F6D"/>
    <w:rsid w:val="00A467B1"/>
    <w:rsid w:val="00A47C7D"/>
    <w:rsid w:val="00A51CA3"/>
    <w:rsid w:val="00A604AB"/>
    <w:rsid w:val="00A620A1"/>
    <w:rsid w:val="00A63C2B"/>
    <w:rsid w:val="00A66625"/>
    <w:rsid w:val="00A67412"/>
    <w:rsid w:val="00A71055"/>
    <w:rsid w:val="00A71C08"/>
    <w:rsid w:val="00A72C11"/>
    <w:rsid w:val="00A74784"/>
    <w:rsid w:val="00A74E16"/>
    <w:rsid w:val="00A8295E"/>
    <w:rsid w:val="00A85EB9"/>
    <w:rsid w:val="00A86FA4"/>
    <w:rsid w:val="00A8701F"/>
    <w:rsid w:val="00A90BDB"/>
    <w:rsid w:val="00A9329E"/>
    <w:rsid w:val="00A97145"/>
    <w:rsid w:val="00AA0E0E"/>
    <w:rsid w:val="00AA0E41"/>
    <w:rsid w:val="00AA290D"/>
    <w:rsid w:val="00AA6DEF"/>
    <w:rsid w:val="00AB1999"/>
    <w:rsid w:val="00AB3E11"/>
    <w:rsid w:val="00AB5DB6"/>
    <w:rsid w:val="00AC1840"/>
    <w:rsid w:val="00AC1D4C"/>
    <w:rsid w:val="00AC245E"/>
    <w:rsid w:val="00AC49B9"/>
    <w:rsid w:val="00AD31A4"/>
    <w:rsid w:val="00AD3973"/>
    <w:rsid w:val="00AD734A"/>
    <w:rsid w:val="00AD7809"/>
    <w:rsid w:val="00AE10D2"/>
    <w:rsid w:val="00AE2769"/>
    <w:rsid w:val="00AE30D4"/>
    <w:rsid w:val="00AE4154"/>
    <w:rsid w:val="00AE6475"/>
    <w:rsid w:val="00AE66BE"/>
    <w:rsid w:val="00AE712F"/>
    <w:rsid w:val="00AE7161"/>
    <w:rsid w:val="00AE7256"/>
    <w:rsid w:val="00AF08F1"/>
    <w:rsid w:val="00AF1577"/>
    <w:rsid w:val="00B00BEE"/>
    <w:rsid w:val="00B014B2"/>
    <w:rsid w:val="00B015F6"/>
    <w:rsid w:val="00B020CB"/>
    <w:rsid w:val="00B02A96"/>
    <w:rsid w:val="00B03184"/>
    <w:rsid w:val="00B04051"/>
    <w:rsid w:val="00B04B2E"/>
    <w:rsid w:val="00B116DF"/>
    <w:rsid w:val="00B14D4C"/>
    <w:rsid w:val="00B156C6"/>
    <w:rsid w:val="00B22A1B"/>
    <w:rsid w:val="00B2303E"/>
    <w:rsid w:val="00B2423A"/>
    <w:rsid w:val="00B25416"/>
    <w:rsid w:val="00B2760C"/>
    <w:rsid w:val="00B27873"/>
    <w:rsid w:val="00B3023F"/>
    <w:rsid w:val="00B3374E"/>
    <w:rsid w:val="00B340F2"/>
    <w:rsid w:val="00B35928"/>
    <w:rsid w:val="00B404A1"/>
    <w:rsid w:val="00B439F3"/>
    <w:rsid w:val="00B43AC7"/>
    <w:rsid w:val="00B44A6C"/>
    <w:rsid w:val="00B46554"/>
    <w:rsid w:val="00B46FC4"/>
    <w:rsid w:val="00B52AA8"/>
    <w:rsid w:val="00B538EB"/>
    <w:rsid w:val="00B53A10"/>
    <w:rsid w:val="00B54263"/>
    <w:rsid w:val="00B55359"/>
    <w:rsid w:val="00B66570"/>
    <w:rsid w:val="00B70B2C"/>
    <w:rsid w:val="00B71355"/>
    <w:rsid w:val="00B7160B"/>
    <w:rsid w:val="00B7492A"/>
    <w:rsid w:val="00B77703"/>
    <w:rsid w:val="00B82DAE"/>
    <w:rsid w:val="00B830DC"/>
    <w:rsid w:val="00B83714"/>
    <w:rsid w:val="00B871E4"/>
    <w:rsid w:val="00B915F8"/>
    <w:rsid w:val="00B95F30"/>
    <w:rsid w:val="00BA13BD"/>
    <w:rsid w:val="00BA14B7"/>
    <w:rsid w:val="00BA2108"/>
    <w:rsid w:val="00BA411E"/>
    <w:rsid w:val="00BA5EE1"/>
    <w:rsid w:val="00BB1889"/>
    <w:rsid w:val="00BB3391"/>
    <w:rsid w:val="00BB743F"/>
    <w:rsid w:val="00BB7F93"/>
    <w:rsid w:val="00BC073B"/>
    <w:rsid w:val="00BC3033"/>
    <w:rsid w:val="00BC7141"/>
    <w:rsid w:val="00BD04C7"/>
    <w:rsid w:val="00BD25B3"/>
    <w:rsid w:val="00BD3AA2"/>
    <w:rsid w:val="00BE2529"/>
    <w:rsid w:val="00BE27C6"/>
    <w:rsid w:val="00BE3B77"/>
    <w:rsid w:val="00BF145D"/>
    <w:rsid w:val="00BF23D4"/>
    <w:rsid w:val="00BF4702"/>
    <w:rsid w:val="00C0085B"/>
    <w:rsid w:val="00C01E1A"/>
    <w:rsid w:val="00C02F53"/>
    <w:rsid w:val="00C03DEB"/>
    <w:rsid w:val="00C052E0"/>
    <w:rsid w:val="00C05F34"/>
    <w:rsid w:val="00C07D06"/>
    <w:rsid w:val="00C101D9"/>
    <w:rsid w:val="00C11866"/>
    <w:rsid w:val="00C12656"/>
    <w:rsid w:val="00C14024"/>
    <w:rsid w:val="00C20DA8"/>
    <w:rsid w:val="00C212B2"/>
    <w:rsid w:val="00C228A6"/>
    <w:rsid w:val="00C2304A"/>
    <w:rsid w:val="00C23664"/>
    <w:rsid w:val="00C24083"/>
    <w:rsid w:val="00C24A19"/>
    <w:rsid w:val="00C26194"/>
    <w:rsid w:val="00C3092E"/>
    <w:rsid w:val="00C31069"/>
    <w:rsid w:val="00C31C92"/>
    <w:rsid w:val="00C32694"/>
    <w:rsid w:val="00C339C2"/>
    <w:rsid w:val="00C344F0"/>
    <w:rsid w:val="00C37814"/>
    <w:rsid w:val="00C37913"/>
    <w:rsid w:val="00C4150E"/>
    <w:rsid w:val="00C445CE"/>
    <w:rsid w:val="00C4578C"/>
    <w:rsid w:val="00C45BF5"/>
    <w:rsid w:val="00C472E1"/>
    <w:rsid w:val="00C526FA"/>
    <w:rsid w:val="00C5567C"/>
    <w:rsid w:val="00C558C5"/>
    <w:rsid w:val="00C566C3"/>
    <w:rsid w:val="00C57A34"/>
    <w:rsid w:val="00C637A7"/>
    <w:rsid w:val="00C63FE0"/>
    <w:rsid w:val="00C67B45"/>
    <w:rsid w:val="00C70462"/>
    <w:rsid w:val="00C730AB"/>
    <w:rsid w:val="00C73332"/>
    <w:rsid w:val="00C73867"/>
    <w:rsid w:val="00C7442D"/>
    <w:rsid w:val="00C745CE"/>
    <w:rsid w:val="00C7668E"/>
    <w:rsid w:val="00C766EC"/>
    <w:rsid w:val="00C77535"/>
    <w:rsid w:val="00C817A9"/>
    <w:rsid w:val="00C82D2D"/>
    <w:rsid w:val="00C82FAF"/>
    <w:rsid w:val="00C8541B"/>
    <w:rsid w:val="00C86682"/>
    <w:rsid w:val="00C90713"/>
    <w:rsid w:val="00C91F6B"/>
    <w:rsid w:val="00C92313"/>
    <w:rsid w:val="00C94624"/>
    <w:rsid w:val="00C95ED2"/>
    <w:rsid w:val="00C97373"/>
    <w:rsid w:val="00C975B7"/>
    <w:rsid w:val="00CA2BC9"/>
    <w:rsid w:val="00CB3387"/>
    <w:rsid w:val="00CB3CF6"/>
    <w:rsid w:val="00CB3E36"/>
    <w:rsid w:val="00CB470B"/>
    <w:rsid w:val="00CB4AD1"/>
    <w:rsid w:val="00CB50F9"/>
    <w:rsid w:val="00CB5439"/>
    <w:rsid w:val="00CB5C7F"/>
    <w:rsid w:val="00CB788D"/>
    <w:rsid w:val="00CC0276"/>
    <w:rsid w:val="00CC0BAC"/>
    <w:rsid w:val="00CC5B93"/>
    <w:rsid w:val="00CC6C78"/>
    <w:rsid w:val="00CD2D4D"/>
    <w:rsid w:val="00CD4125"/>
    <w:rsid w:val="00CD4833"/>
    <w:rsid w:val="00CD5945"/>
    <w:rsid w:val="00CD5AB2"/>
    <w:rsid w:val="00CE2D4C"/>
    <w:rsid w:val="00CE3B32"/>
    <w:rsid w:val="00CE5877"/>
    <w:rsid w:val="00CE67C4"/>
    <w:rsid w:val="00CE7B5D"/>
    <w:rsid w:val="00CF1221"/>
    <w:rsid w:val="00CF1BA6"/>
    <w:rsid w:val="00CF46E9"/>
    <w:rsid w:val="00D015E4"/>
    <w:rsid w:val="00D0261E"/>
    <w:rsid w:val="00D05908"/>
    <w:rsid w:val="00D07944"/>
    <w:rsid w:val="00D107DD"/>
    <w:rsid w:val="00D11677"/>
    <w:rsid w:val="00D13AB9"/>
    <w:rsid w:val="00D15A86"/>
    <w:rsid w:val="00D17FC4"/>
    <w:rsid w:val="00D20BDA"/>
    <w:rsid w:val="00D2274A"/>
    <w:rsid w:val="00D22DAB"/>
    <w:rsid w:val="00D2462C"/>
    <w:rsid w:val="00D24888"/>
    <w:rsid w:val="00D25242"/>
    <w:rsid w:val="00D26DF8"/>
    <w:rsid w:val="00D35FEE"/>
    <w:rsid w:val="00D41B72"/>
    <w:rsid w:val="00D47784"/>
    <w:rsid w:val="00D47AD1"/>
    <w:rsid w:val="00D519EA"/>
    <w:rsid w:val="00D53287"/>
    <w:rsid w:val="00D537CD"/>
    <w:rsid w:val="00D53CCF"/>
    <w:rsid w:val="00D56D28"/>
    <w:rsid w:val="00D57908"/>
    <w:rsid w:val="00D57B1B"/>
    <w:rsid w:val="00D60678"/>
    <w:rsid w:val="00D61E22"/>
    <w:rsid w:val="00D628E3"/>
    <w:rsid w:val="00D62B4E"/>
    <w:rsid w:val="00D66EE2"/>
    <w:rsid w:val="00D67432"/>
    <w:rsid w:val="00D71BCB"/>
    <w:rsid w:val="00D7568E"/>
    <w:rsid w:val="00D7748A"/>
    <w:rsid w:val="00D81318"/>
    <w:rsid w:val="00D81438"/>
    <w:rsid w:val="00D818BC"/>
    <w:rsid w:val="00D84F33"/>
    <w:rsid w:val="00D87928"/>
    <w:rsid w:val="00DA0E2C"/>
    <w:rsid w:val="00DA1C67"/>
    <w:rsid w:val="00DA79BB"/>
    <w:rsid w:val="00DA7D01"/>
    <w:rsid w:val="00DB3AF1"/>
    <w:rsid w:val="00DB468E"/>
    <w:rsid w:val="00DB752A"/>
    <w:rsid w:val="00DC1CB5"/>
    <w:rsid w:val="00DC2CCF"/>
    <w:rsid w:val="00DC304E"/>
    <w:rsid w:val="00DC3451"/>
    <w:rsid w:val="00DC54FE"/>
    <w:rsid w:val="00DC5BDC"/>
    <w:rsid w:val="00DD1215"/>
    <w:rsid w:val="00DD1F21"/>
    <w:rsid w:val="00DD2A1E"/>
    <w:rsid w:val="00DD3951"/>
    <w:rsid w:val="00DD6A92"/>
    <w:rsid w:val="00DD7318"/>
    <w:rsid w:val="00DE1558"/>
    <w:rsid w:val="00DE3F2F"/>
    <w:rsid w:val="00DE511A"/>
    <w:rsid w:val="00DF1551"/>
    <w:rsid w:val="00DF1CCA"/>
    <w:rsid w:val="00DF397E"/>
    <w:rsid w:val="00DF3A9C"/>
    <w:rsid w:val="00DF5608"/>
    <w:rsid w:val="00E00C49"/>
    <w:rsid w:val="00E03333"/>
    <w:rsid w:val="00E04F17"/>
    <w:rsid w:val="00E077AA"/>
    <w:rsid w:val="00E11C5F"/>
    <w:rsid w:val="00E12135"/>
    <w:rsid w:val="00E15349"/>
    <w:rsid w:val="00E16D1F"/>
    <w:rsid w:val="00E17246"/>
    <w:rsid w:val="00E17CC2"/>
    <w:rsid w:val="00E222CC"/>
    <w:rsid w:val="00E22DF4"/>
    <w:rsid w:val="00E2334C"/>
    <w:rsid w:val="00E26779"/>
    <w:rsid w:val="00E32044"/>
    <w:rsid w:val="00E366D8"/>
    <w:rsid w:val="00E3727A"/>
    <w:rsid w:val="00E37B0E"/>
    <w:rsid w:val="00E42FB5"/>
    <w:rsid w:val="00E4454D"/>
    <w:rsid w:val="00E448EE"/>
    <w:rsid w:val="00E45222"/>
    <w:rsid w:val="00E46EA3"/>
    <w:rsid w:val="00E4775F"/>
    <w:rsid w:val="00E521DA"/>
    <w:rsid w:val="00E532AE"/>
    <w:rsid w:val="00E54D20"/>
    <w:rsid w:val="00E54F47"/>
    <w:rsid w:val="00E5615E"/>
    <w:rsid w:val="00E56171"/>
    <w:rsid w:val="00E61313"/>
    <w:rsid w:val="00E632DB"/>
    <w:rsid w:val="00E63EA1"/>
    <w:rsid w:val="00E67015"/>
    <w:rsid w:val="00E70C82"/>
    <w:rsid w:val="00E717F1"/>
    <w:rsid w:val="00E721A0"/>
    <w:rsid w:val="00E72353"/>
    <w:rsid w:val="00E73D8A"/>
    <w:rsid w:val="00E740F9"/>
    <w:rsid w:val="00E74BBB"/>
    <w:rsid w:val="00E8096D"/>
    <w:rsid w:val="00E8100A"/>
    <w:rsid w:val="00E86191"/>
    <w:rsid w:val="00E86E69"/>
    <w:rsid w:val="00E8720E"/>
    <w:rsid w:val="00E90A39"/>
    <w:rsid w:val="00E91E24"/>
    <w:rsid w:val="00EA0961"/>
    <w:rsid w:val="00EA2AE5"/>
    <w:rsid w:val="00EA34CB"/>
    <w:rsid w:val="00EA746B"/>
    <w:rsid w:val="00EB055B"/>
    <w:rsid w:val="00EB484E"/>
    <w:rsid w:val="00EB572B"/>
    <w:rsid w:val="00EB61B0"/>
    <w:rsid w:val="00EB7F55"/>
    <w:rsid w:val="00EC18B8"/>
    <w:rsid w:val="00EC285E"/>
    <w:rsid w:val="00EC2D8A"/>
    <w:rsid w:val="00EC305B"/>
    <w:rsid w:val="00EC41E3"/>
    <w:rsid w:val="00EC4B5C"/>
    <w:rsid w:val="00EC61FF"/>
    <w:rsid w:val="00EC798B"/>
    <w:rsid w:val="00ED108B"/>
    <w:rsid w:val="00ED57B6"/>
    <w:rsid w:val="00ED7F1D"/>
    <w:rsid w:val="00EE20F0"/>
    <w:rsid w:val="00EE3340"/>
    <w:rsid w:val="00EE3F05"/>
    <w:rsid w:val="00EE5525"/>
    <w:rsid w:val="00EE6F98"/>
    <w:rsid w:val="00EE7F18"/>
    <w:rsid w:val="00EF040B"/>
    <w:rsid w:val="00EF1AF5"/>
    <w:rsid w:val="00EF2728"/>
    <w:rsid w:val="00EF2E65"/>
    <w:rsid w:val="00EF36F7"/>
    <w:rsid w:val="00EF3A62"/>
    <w:rsid w:val="00EF4A49"/>
    <w:rsid w:val="00EF6D29"/>
    <w:rsid w:val="00EF7FC7"/>
    <w:rsid w:val="00F014D2"/>
    <w:rsid w:val="00F029A2"/>
    <w:rsid w:val="00F03E03"/>
    <w:rsid w:val="00F101E5"/>
    <w:rsid w:val="00F10EF4"/>
    <w:rsid w:val="00F10FDE"/>
    <w:rsid w:val="00F12FE1"/>
    <w:rsid w:val="00F15464"/>
    <w:rsid w:val="00F16B89"/>
    <w:rsid w:val="00F16CDB"/>
    <w:rsid w:val="00F16EEC"/>
    <w:rsid w:val="00F17F3D"/>
    <w:rsid w:val="00F20562"/>
    <w:rsid w:val="00F20E55"/>
    <w:rsid w:val="00F22430"/>
    <w:rsid w:val="00F22A44"/>
    <w:rsid w:val="00F258B3"/>
    <w:rsid w:val="00F259E5"/>
    <w:rsid w:val="00F26401"/>
    <w:rsid w:val="00F2741D"/>
    <w:rsid w:val="00F30F36"/>
    <w:rsid w:val="00F3153B"/>
    <w:rsid w:val="00F3792A"/>
    <w:rsid w:val="00F37F81"/>
    <w:rsid w:val="00F4066F"/>
    <w:rsid w:val="00F40C44"/>
    <w:rsid w:val="00F40D73"/>
    <w:rsid w:val="00F4141C"/>
    <w:rsid w:val="00F4235F"/>
    <w:rsid w:val="00F424B7"/>
    <w:rsid w:val="00F42F6B"/>
    <w:rsid w:val="00F4534A"/>
    <w:rsid w:val="00F46606"/>
    <w:rsid w:val="00F47144"/>
    <w:rsid w:val="00F51735"/>
    <w:rsid w:val="00F549C5"/>
    <w:rsid w:val="00F55478"/>
    <w:rsid w:val="00F55A65"/>
    <w:rsid w:val="00F56186"/>
    <w:rsid w:val="00F5650A"/>
    <w:rsid w:val="00F60F02"/>
    <w:rsid w:val="00F6127F"/>
    <w:rsid w:val="00F6237D"/>
    <w:rsid w:val="00F63785"/>
    <w:rsid w:val="00F63AFC"/>
    <w:rsid w:val="00F641C3"/>
    <w:rsid w:val="00F654B2"/>
    <w:rsid w:val="00F66707"/>
    <w:rsid w:val="00F66FBD"/>
    <w:rsid w:val="00F7151B"/>
    <w:rsid w:val="00F75244"/>
    <w:rsid w:val="00F8164C"/>
    <w:rsid w:val="00F82731"/>
    <w:rsid w:val="00F82A5C"/>
    <w:rsid w:val="00F85DA4"/>
    <w:rsid w:val="00F862FA"/>
    <w:rsid w:val="00F9234D"/>
    <w:rsid w:val="00F945DD"/>
    <w:rsid w:val="00F95BAF"/>
    <w:rsid w:val="00FA0F14"/>
    <w:rsid w:val="00FA1109"/>
    <w:rsid w:val="00FB042D"/>
    <w:rsid w:val="00FB0BBC"/>
    <w:rsid w:val="00FB0E27"/>
    <w:rsid w:val="00FB249B"/>
    <w:rsid w:val="00FB2BA9"/>
    <w:rsid w:val="00FC34EA"/>
    <w:rsid w:val="00FC690D"/>
    <w:rsid w:val="00FC7928"/>
    <w:rsid w:val="00FD0496"/>
    <w:rsid w:val="00FD0A22"/>
    <w:rsid w:val="00FD377F"/>
    <w:rsid w:val="00FD3C3C"/>
    <w:rsid w:val="00FD40FF"/>
    <w:rsid w:val="00FD55B6"/>
    <w:rsid w:val="00FD5880"/>
    <w:rsid w:val="00FD686A"/>
    <w:rsid w:val="00FE4193"/>
    <w:rsid w:val="00FF0B9C"/>
    <w:rsid w:val="00FF0C74"/>
    <w:rsid w:val="00FF1FAB"/>
    <w:rsid w:val="00FF25CF"/>
    <w:rsid w:val="00FF453E"/>
    <w:rsid w:val="00FF6125"/>
    <w:rsid w:val="0519226A"/>
    <w:rsid w:val="05C9387D"/>
    <w:rsid w:val="08307CA1"/>
    <w:rsid w:val="093A7318"/>
    <w:rsid w:val="0A0D1D9B"/>
    <w:rsid w:val="0A0F1CD6"/>
    <w:rsid w:val="0BBA4295"/>
    <w:rsid w:val="0C2D2E0B"/>
    <w:rsid w:val="0C600E96"/>
    <w:rsid w:val="0CEB1914"/>
    <w:rsid w:val="0DA741C0"/>
    <w:rsid w:val="10536B6E"/>
    <w:rsid w:val="13824654"/>
    <w:rsid w:val="14375384"/>
    <w:rsid w:val="15B20367"/>
    <w:rsid w:val="1624160F"/>
    <w:rsid w:val="170F450E"/>
    <w:rsid w:val="17474D4E"/>
    <w:rsid w:val="177B16DD"/>
    <w:rsid w:val="18450284"/>
    <w:rsid w:val="1930059F"/>
    <w:rsid w:val="194F6D87"/>
    <w:rsid w:val="19825F0E"/>
    <w:rsid w:val="1A626287"/>
    <w:rsid w:val="1AB8095B"/>
    <w:rsid w:val="1AD81A1B"/>
    <w:rsid w:val="1B7631F5"/>
    <w:rsid w:val="1D9D2C35"/>
    <w:rsid w:val="1DBC50D1"/>
    <w:rsid w:val="1DD47867"/>
    <w:rsid w:val="1E4C0094"/>
    <w:rsid w:val="1E982F7E"/>
    <w:rsid w:val="1F027EAA"/>
    <w:rsid w:val="214A050E"/>
    <w:rsid w:val="21F0260A"/>
    <w:rsid w:val="26333870"/>
    <w:rsid w:val="26826364"/>
    <w:rsid w:val="2A3E4139"/>
    <w:rsid w:val="2CBD7E11"/>
    <w:rsid w:val="302B2951"/>
    <w:rsid w:val="319C18F5"/>
    <w:rsid w:val="32AB72CC"/>
    <w:rsid w:val="34A904C7"/>
    <w:rsid w:val="354D3AD6"/>
    <w:rsid w:val="36AB433D"/>
    <w:rsid w:val="36C074C4"/>
    <w:rsid w:val="37B30577"/>
    <w:rsid w:val="39216B01"/>
    <w:rsid w:val="39801576"/>
    <w:rsid w:val="39FB6093"/>
    <w:rsid w:val="3A7F6352"/>
    <w:rsid w:val="3B7D31C1"/>
    <w:rsid w:val="3C7E77FF"/>
    <w:rsid w:val="3EA22D4D"/>
    <w:rsid w:val="44E43A96"/>
    <w:rsid w:val="463902F3"/>
    <w:rsid w:val="467235D1"/>
    <w:rsid w:val="469A6FE4"/>
    <w:rsid w:val="46B03C44"/>
    <w:rsid w:val="47655843"/>
    <w:rsid w:val="47C10CCA"/>
    <w:rsid w:val="47CD463E"/>
    <w:rsid w:val="4AAE12AF"/>
    <w:rsid w:val="4AF244C7"/>
    <w:rsid w:val="4B0C25A0"/>
    <w:rsid w:val="4B0E44B0"/>
    <w:rsid w:val="4CF05B2F"/>
    <w:rsid w:val="4DE56C57"/>
    <w:rsid w:val="4FCE41A2"/>
    <w:rsid w:val="4FDC11E8"/>
    <w:rsid w:val="55731F68"/>
    <w:rsid w:val="5641488F"/>
    <w:rsid w:val="57B509F9"/>
    <w:rsid w:val="590D43CD"/>
    <w:rsid w:val="5AF905A1"/>
    <w:rsid w:val="5BB167FD"/>
    <w:rsid w:val="5BBE3B33"/>
    <w:rsid w:val="5C7E485A"/>
    <w:rsid w:val="5CD34356"/>
    <w:rsid w:val="5DCC1F1C"/>
    <w:rsid w:val="617F354E"/>
    <w:rsid w:val="635D52D8"/>
    <w:rsid w:val="64D82766"/>
    <w:rsid w:val="65145E42"/>
    <w:rsid w:val="6589499B"/>
    <w:rsid w:val="65AA00F4"/>
    <w:rsid w:val="66DC6449"/>
    <w:rsid w:val="67BD5E90"/>
    <w:rsid w:val="686918A9"/>
    <w:rsid w:val="69390486"/>
    <w:rsid w:val="6A86634A"/>
    <w:rsid w:val="6AD708B6"/>
    <w:rsid w:val="6CEB5F3B"/>
    <w:rsid w:val="729D55E2"/>
    <w:rsid w:val="74A521EF"/>
    <w:rsid w:val="76E71CBC"/>
    <w:rsid w:val="77785EA7"/>
    <w:rsid w:val="7A4078C7"/>
    <w:rsid w:val="7B05466C"/>
    <w:rsid w:val="7D5B3637"/>
    <w:rsid w:val="7DFC16F9"/>
    <w:rsid w:val="7E3331FA"/>
    <w:rsid w:val="7E8731A9"/>
    <w:rsid w:val="7FE36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Calibri"/>
      <w:kern w:val="2"/>
      <w:sz w:val="21"/>
      <w:szCs w:val="24"/>
      <w:lang w:val="en-US" w:eastAsia="zh-CN" w:bidi="ar-SA"/>
    </w:rPr>
  </w:style>
  <w:style w:type="paragraph" w:styleId="4">
    <w:name w:val="heading 1"/>
    <w:basedOn w:val="1"/>
    <w:next w:val="1"/>
    <w:link w:val="26"/>
    <w:autoRedefine/>
    <w:qFormat/>
    <w:uiPriority w:val="9"/>
    <w:pPr>
      <w:keepNext/>
      <w:keepLines/>
      <w:spacing w:before="340" w:after="330" w:line="576" w:lineRule="auto"/>
      <w:outlineLvl w:val="0"/>
    </w:pPr>
    <w:rPr>
      <w:b/>
      <w:bCs/>
      <w:kern w:val="44"/>
      <w:sz w:val="44"/>
      <w:szCs w:val="44"/>
    </w:rPr>
  </w:style>
  <w:style w:type="paragraph" w:styleId="5">
    <w:name w:val="heading 2"/>
    <w:basedOn w:val="1"/>
    <w:next w:val="1"/>
    <w:link w:val="25"/>
    <w:autoRedefine/>
    <w:unhideWhenUsed/>
    <w:qFormat/>
    <w:uiPriority w:val="9"/>
    <w:pPr>
      <w:keepNext/>
      <w:keepLines/>
      <w:spacing w:before="260" w:after="260" w:line="416" w:lineRule="auto"/>
      <w:outlineLvl w:val="1"/>
    </w:pPr>
    <w:rPr>
      <w:rFonts w:ascii="Cambria" w:hAnsi="Cambria"/>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First Indent"/>
    <w:basedOn w:val="3"/>
    <w:autoRedefine/>
    <w:qFormat/>
    <w:uiPriority w:val="0"/>
    <w:pPr>
      <w:ind w:firstLine="420" w:firstLineChars="100"/>
    </w:pPr>
  </w:style>
  <w:style w:type="paragraph" w:styleId="3">
    <w:name w:val="Body Text"/>
    <w:basedOn w:val="1"/>
    <w:autoRedefine/>
    <w:qFormat/>
    <w:uiPriority w:val="0"/>
    <w:pPr>
      <w:spacing w:after="120"/>
      <w:ind w:firstLine="200"/>
    </w:pPr>
  </w:style>
  <w:style w:type="paragraph" w:styleId="6">
    <w:name w:val="caption"/>
    <w:basedOn w:val="1"/>
    <w:next w:val="1"/>
    <w:autoRedefine/>
    <w:qFormat/>
    <w:uiPriority w:val="99"/>
    <w:pPr>
      <w:widowControl/>
      <w:adjustRightInd w:val="0"/>
      <w:snapToGrid w:val="0"/>
      <w:jc w:val="center"/>
    </w:pPr>
    <w:rPr>
      <w:rFonts w:cs="Times New Roman"/>
      <w:szCs w:val="28"/>
    </w:rPr>
  </w:style>
  <w:style w:type="paragraph" w:styleId="7">
    <w:name w:val="Document Map"/>
    <w:basedOn w:val="1"/>
    <w:link w:val="29"/>
    <w:autoRedefine/>
    <w:semiHidden/>
    <w:unhideWhenUsed/>
    <w:qFormat/>
    <w:uiPriority w:val="99"/>
    <w:rPr>
      <w:rFonts w:ascii="宋体"/>
      <w:sz w:val="18"/>
      <w:szCs w:val="18"/>
    </w:rPr>
  </w:style>
  <w:style w:type="paragraph" w:styleId="8">
    <w:name w:val="annotation text"/>
    <w:basedOn w:val="1"/>
    <w:link w:val="32"/>
    <w:autoRedefine/>
    <w:qFormat/>
    <w:uiPriority w:val="0"/>
    <w:pPr>
      <w:adjustRightInd w:val="0"/>
      <w:spacing w:line="400" w:lineRule="exact"/>
      <w:jc w:val="left"/>
    </w:pPr>
    <w:rPr>
      <w:rFonts w:cs="Times New Roman"/>
      <w:szCs w:val="21"/>
    </w:rPr>
  </w:style>
  <w:style w:type="paragraph" w:styleId="9">
    <w:name w:val="Body Text Indent"/>
    <w:basedOn w:val="1"/>
    <w:link w:val="34"/>
    <w:autoRedefine/>
    <w:semiHidden/>
    <w:qFormat/>
    <w:uiPriority w:val="0"/>
    <w:pPr>
      <w:spacing w:line="400" w:lineRule="exact"/>
      <w:ind w:firstLine="480" w:firstLineChars="200"/>
    </w:pPr>
    <w:rPr>
      <w:rFonts w:ascii="宋体" w:hAnsi="宋体"/>
      <w:sz w:val="24"/>
      <w:szCs w:val="20"/>
    </w:rPr>
  </w:style>
  <w:style w:type="paragraph" w:styleId="10">
    <w:name w:val="Plain Text"/>
    <w:basedOn w:val="1"/>
    <w:autoRedefine/>
    <w:semiHidden/>
    <w:unhideWhenUsed/>
    <w:qFormat/>
    <w:uiPriority w:val="99"/>
    <w:rPr>
      <w:rFonts w:hAnsi="Courier New" w:cs="Courier New" w:asciiTheme="minorEastAsia" w:eastAsiaTheme="minorEastAsia"/>
    </w:rPr>
  </w:style>
  <w:style w:type="paragraph" w:styleId="11">
    <w:name w:val="Date"/>
    <w:basedOn w:val="1"/>
    <w:next w:val="1"/>
    <w:autoRedefine/>
    <w:semiHidden/>
    <w:qFormat/>
    <w:uiPriority w:val="0"/>
    <w:pPr>
      <w:ind w:left="2500" w:leftChars="2500"/>
    </w:pPr>
    <w:rPr>
      <w:sz w:val="36"/>
    </w:rPr>
  </w:style>
  <w:style w:type="paragraph" w:styleId="12">
    <w:name w:val="Balloon Text"/>
    <w:basedOn w:val="1"/>
    <w:link w:val="28"/>
    <w:autoRedefine/>
    <w:semiHidden/>
    <w:unhideWhenUsed/>
    <w:qFormat/>
    <w:uiPriority w:val="99"/>
    <w:rPr>
      <w:sz w:val="18"/>
      <w:szCs w:val="18"/>
    </w:rPr>
  </w:style>
  <w:style w:type="paragraph" w:styleId="13">
    <w:name w:val="footer"/>
    <w:basedOn w:val="1"/>
    <w:autoRedefine/>
    <w:semiHidden/>
    <w:qFormat/>
    <w:uiPriority w:val="0"/>
    <w:pPr>
      <w:tabs>
        <w:tab w:val="center" w:pos="4320"/>
        <w:tab w:val="right" w:pos="8640"/>
      </w:tabs>
      <w:snapToGrid w:val="0"/>
      <w:jc w:val="left"/>
    </w:pPr>
    <w:rPr>
      <w:sz w:val="18"/>
      <w:szCs w:val="18"/>
    </w:rPr>
  </w:style>
  <w:style w:type="paragraph" w:styleId="14">
    <w:name w:val="header"/>
    <w:basedOn w:val="1"/>
    <w:autoRedefine/>
    <w:semiHidden/>
    <w:qFormat/>
    <w:uiPriority w:val="0"/>
    <w:pPr>
      <w:pBdr>
        <w:bottom w:val="single" w:color="auto" w:sz="6" w:space="1"/>
      </w:pBdr>
      <w:tabs>
        <w:tab w:val="center" w:pos="4320"/>
        <w:tab w:val="right" w:pos="8640"/>
      </w:tabs>
      <w:snapToGrid w:val="0"/>
      <w:jc w:val="center"/>
    </w:pPr>
    <w:rPr>
      <w:sz w:val="18"/>
      <w:szCs w:val="18"/>
    </w:rPr>
  </w:style>
  <w:style w:type="paragraph" w:styleId="15">
    <w:name w:val="toc 1"/>
    <w:basedOn w:val="1"/>
    <w:next w:val="1"/>
    <w:autoRedefine/>
    <w:unhideWhenUsed/>
    <w:qFormat/>
    <w:uiPriority w:val="39"/>
  </w:style>
  <w:style w:type="paragraph" w:styleId="16">
    <w:name w:val="Normal (Web)"/>
    <w:basedOn w:val="1"/>
    <w:autoRedefine/>
    <w:semiHidden/>
    <w:unhideWhenUsed/>
    <w:qFormat/>
    <w:uiPriority w:val="99"/>
    <w:pPr>
      <w:widowControl/>
      <w:spacing w:before="100" w:beforeAutospacing="1" w:after="100" w:afterAutospacing="1"/>
      <w:jc w:val="left"/>
    </w:pPr>
    <w:rPr>
      <w:rFonts w:ascii="宋体" w:hAnsi="宋体" w:cs="宋体"/>
      <w:kern w:val="0"/>
      <w:sz w:val="24"/>
    </w:rPr>
  </w:style>
  <w:style w:type="paragraph" w:styleId="17">
    <w:name w:val="annotation subject"/>
    <w:basedOn w:val="8"/>
    <w:next w:val="8"/>
    <w:link w:val="33"/>
    <w:autoRedefine/>
    <w:semiHidden/>
    <w:unhideWhenUsed/>
    <w:qFormat/>
    <w:uiPriority w:val="0"/>
  </w:style>
  <w:style w:type="table" w:styleId="19">
    <w:name w:val="Table Grid"/>
    <w:basedOn w:val="1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semiHidden/>
    <w:qFormat/>
    <w:uiPriority w:val="0"/>
  </w:style>
  <w:style w:type="character" w:styleId="22">
    <w:name w:val="Hyperlink"/>
    <w:autoRedefine/>
    <w:unhideWhenUsed/>
    <w:qFormat/>
    <w:uiPriority w:val="99"/>
    <w:rPr>
      <w:color w:val="0000FF"/>
      <w:u w:val="single"/>
    </w:rPr>
  </w:style>
  <w:style w:type="character" w:styleId="23">
    <w:name w:val="annotation reference"/>
    <w:autoRedefine/>
    <w:semiHidden/>
    <w:qFormat/>
    <w:uiPriority w:val="0"/>
    <w:rPr>
      <w:sz w:val="21"/>
      <w:szCs w:val="21"/>
    </w:rPr>
  </w:style>
  <w:style w:type="paragraph" w:customStyle="1" w:styleId="24">
    <w:name w:val="工可正文"/>
    <w:basedOn w:val="10"/>
    <w:autoRedefine/>
    <w:qFormat/>
    <w:uiPriority w:val="0"/>
    <w:pPr>
      <w:ind w:firstLine="560" w:firstLineChars="200"/>
    </w:pPr>
    <w:rPr>
      <w:rFonts w:ascii="Times New Roman" w:hAnsi="Times New Roman" w:eastAsia="宋体" w:cs="Times New Roman"/>
      <w:kern w:val="0"/>
      <w:sz w:val="28"/>
      <w:szCs w:val="20"/>
    </w:rPr>
  </w:style>
  <w:style w:type="character" w:customStyle="1" w:styleId="25">
    <w:name w:val="标题 2 字符"/>
    <w:link w:val="5"/>
    <w:autoRedefine/>
    <w:qFormat/>
    <w:uiPriority w:val="9"/>
    <w:rPr>
      <w:rFonts w:ascii="Cambria" w:hAnsi="Cambria" w:eastAsia="宋体" w:cs="Times New Roman"/>
      <w:b/>
      <w:bCs/>
      <w:kern w:val="2"/>
      <w:sz w:val="32"/>
      <w:szCs w:val="32"/>
    </w:rPr>
  </w:style>
  <w:style w:type="character" w:customStyle="1" w:styleId="26">
    <w:name w:val="标题 1 字符"/>
    <w:link w:val="4"/>
    <w:autoRedefine/>
    <w:qFormat/>
    <w:uiPriority w:val="9"/>
    <w:rPr>
      <w:rFonts w:ascii="Calibri" w:hAnsi="Calibri" w:cs="宋体"/>
      <w:b/>
      <w:bCs/>
      <w:kern w:val="44"/>
      <w:sz w:val="44"/>
      <w:szCs w:val="44"/>
    </w:rPr>
  </w:style>
  <w:style w:type="paragraph" w:customStyle="1" w:styleId="27">
    <w:name w:val="仿宋正文"/>
    <w:basedOn w:val="24"/>
    <w:autoRedefine/>
    <w:qFormat/>
    <w:uiPriority w:val="0"/>
    <w:rPr>
      <w:rFonts w:ascii="仿宋" w:hAnsi="仿宋" w:eastAsia="仿宋"/>
      <w:sz w:val="32"/>
    </w:rPr>
  </w:style>
  <w:style w:type="character" w:customStyle="1" w:styleId="28">
    <w:name w:val="批注框文本 字符"/>
    <w:link w:val="12"/>
    <w:autoRedefine/>
    <w:semiHidden/>
    <w:qFormat/>
    <w:uiPriority w:val="99"/>
    <w:rPr>
      <w:kern w:val="2"/>
      <w:sz w:val="18"/>
      <w:szCs w:val="18"/>
    </w:rPr>
  </w:style>
  <w:style w:type="character" w:customStyle="1" w:styleId="29">
    <w:name w:val="文档结构图 字符"/>
    <w:link w:val="7"/>
    <w:autoRedefine/>
    <w:semiHidden/>
    <w:qFormat/>
    <w:uiPriority w:val="99"/>
    <w:rPr>
      <w:rFonts w:ascii="宋体"/>
      <w:kern w:val="2"/>
      <w:sz w:val="18"/>
      <w:szCs w:val="18"/>
    </w:rPr>
  </w:style>
  <w:style w:type="character" w:customStyle="1" w:styleId="30">
    <w:name w:val="z正文 Char"/>
    <w:link w:val="31"/>
    <w:autoRedefine/>
    <w:qFormat/>
    <w:locked/>
    <w:uiPriority w:val="0"/>
    <w:rPr>
      <w:rFonts w:ascii="Calibri" w:hAnsi="Calibri" w:cs="Calibri"/>
      <w:sz w:val="24"/>
      <w:szCs w:val="24"/>
    </w:rPr>
  </w:style>
  <w:style w:type="paragraph" w:customStyle="1" w:styleId="31">
    <w:name w:val="z正文"/>
    <w:basedOn w:val="1"/>
    <w:link w:val="30"/>
    <w:autoRedefine/>
    <w:qFormat/>
    <w:uiPriority w:val="0"/>
    <w:pPr>
      <w:spacing w:line="360" w:lineRule="auto"/>
      <w:ind w:firstLine="482" w:firstLineChars="200"/>
    </w:pPr>
    <w:rPr>
      <w:kern w:val="0"/>
      <w:sz w:val="24"/>
    </w:rPr>
  </w:style>
  <w:style w:type="character" w:customStyle="1" w:styleId="32">
    <w:name w:val="批注文字 字符"/>
    <w:link w:val="8"/>
    <w:autoRedefine/>
    <w:qFormat/>
    <w:uiPriority w:val="0"/>
    <w:rPr>
      <w:kern w:val="2"/>
      <w:sz w:val="21"/>
      <w:szCs w:val="24"/>
    </w:rPr>
  </w:style>
  <w:style w:type="character" w:customStyle="1" w:styleId="33">
    <w:name w:val="批注主题 字符"/>
    <w:link w:val="17"/>
    <w:autoRedefine/>
    <w:qFormat/>
    <w:uiPriority w:val="0"/>
    <w:rPr>
      <w:kern w:val="2"/>
      <w:sz w:val="21"/>
      <w:szCs w:val="24"/>
    </w:rPr>
  </w:style>
  <w:style w:type="character" w:customStyle="1" w:styleId="34">
    <w:name w:val="正文文本缩进 字符"/>
    <w:link w:val="9"/>
    <w:autoRedefine/>
    <w:semiHidden/>
    <w:qFormat/>
    <w:uiPriority w:val="0"/>
    <w:rPr>
      <w:rFonts w:ascii="宋体" w:hAnsi="宋体"/>
      <w:kern w:val="2"/>
      <w:sz w:val="24"/>
    </w:rPr>
  </w:style>
  <w:style w:type="character" w:customStyle="1" w:styleId="35">
    <w:name w:val="段 Char"/>
    <w:link w:val="36"/>
    <w:autoRedefine/>
    <w:qFormat/>
    <w:locked/>
    <w:uiPriority w:val="0"/>
    <w:rPr>
      <w:rFonts w:ascii="宋体" w:eastAsia="Times New Roman"/>
      <w:sz w:val="21"/>
      <w:lang w:val="en-US" w:eastAsia="zh-CN" w:bidi="ar-SA"/>
    </w:rPr>
  </w:style>
  <w:style w:type="paragraph" w:customStyle="1" w:styleId="36">
    <w:name w:val="段"/>
    <w:link w:val="35"/>
    <w:autoRedefine/>
    <w:qFormat/>
    <w:uiPriority w:val="0"/>
    <w:pPr>
      <w:tabs>
        <w:tab w:val="center" w:pos="4201"/>
        <w:tab w:val="right" w:leader="dot" w:pos="9298"/>
      </w:tabs>
      <w:autoSpaceDE w:val="0"/>
      <w:autoSpaceDN w:val="0"/>
      <w:ind w:firstLine="420" w:firstLineChars="200"/>
      <w:jc w:val="both"/>
    </w:pPr>
    <w:rPr>
      <w:rFonts w:ascii="宋体" w:hAnsi="Calibri" w:eastAsia="Times New Roman" w:cs="Calibri"/>
      <w:sz w:val="21"/>
      <w:lang w:val="en-US" w:eastAsia="zh-CN" w:bidi="ar-SA"/>
    </w:rPr>
  </w:style>
  <w:style w:type="paragraph" w:styleId="37">
    <w:name w:val="List Paragraph"/>
    <w:basedOn w:val="1"/>
    <w:autoRedefine/>
    <w:qFormat/>
    <w:uiPriority w:val="99"/>
    <w:pPr>
      <w:ind w:firstLine="420" w:firstLineChars="200"/>
    </w:pPr>
    <w:rPr>
      <w:szCs w:val="22"/>
    </w:rPr>
  </w:style>
  <w:style w:type="paragraph" w:styleId="38">
    <w:name w:val="Intense Quote"/>
    <w:basedOn w:val="1"/>
    <w:next w:val="1"/>
    <w:link w:val="39"/>
    <w:autoRedefine/>
    <w:qFormat/>
    <w:uiPriority w:val="30"/>
    <w:pPr>
      <w:widowControl/>
      <w:pBdr>
        <w:bottom w:val="single" w:color="4F81BD" w:sz="4" w:space="4"/>
      </w:pBdr>
      <w:spacing w:before="200" w:after="280" w:line="360" w:lineRule="auto"/>
      <w:ind w:left="936" w:right="936" w:firstLine="200" w:firstLineChars="200"/>
      <w:jc w:val="left"/>
    </w:pPr>
    <w:rPr>
      <w:b/>
      <w:bCs/>
      <w:i/>
      <w:iCs/>
      <w:color w:val="4F81BD"/>
      <w:kern w:val="0"/>
      <w:sz w:val="24"/>
      <w:szCs w:val="22"/>
      <w:lang w:eastAsia="en-US" w:bidi="en-US"/>
    </w:rPr>
  </w:style>
  <w:style w:type="character" w:customStyle="1" w:styleId="39">
    <w:name w:val="明显引用 字符"/>
    <w:link w:val="38"/>
    <w:autoRedefine/>
    <w:qFormat/>
    <w:uiPriority w:val="30"/>
    <w:rPr>
      <w:rFonts w:ascii="Calibri" w:hAnsi="Calibri"/>
      <w:b/>
      <w:bCs/>
      <w:i/>
      <w:iCs/>
      <w:color w:val="4F81BD"/>
      <w:sz w:val="24"/>
      <w:szCs w:val="22"/>
      <w:lang w:eastAsia="en-US" w:bidi="en-US"/>
    </w:rPr>
  </w:style>
  <w:style w:type="paragraph" w:customStyle="1" w:styleId="40">
    <w:name w:val="_Style 32"/>
    <w:autoRedefine/>
    <w:hidden/>
    <w:semiHidden/>
    <w:qFormat/>
    <w:uiPriority w:val="99"/>
    <w:rPr>
      <w:rFonts w:ascii="Calibri" w:hAnsi="Calibri" w:eastAsia="宋体" w:cs="Calibri"/>
      <w:kern w:val="2"/>
      <w:sz w:val="21"/>
      <w:szCs w:val="24"/>
      <w:lang w:val="en-US" w:eastAsia="zh-CN" w:bidi="ar-SA"/>
    </w:rPr>
  </w:style>
  <w:style w:type="paragraph" w:customStyle="1" w:styleId="41">
    <w:name w:val="参考文献、索引标题"/>
    <w:basedOn w:val="1"/>
    <w:next w:val="1"/>
    <w:autoRedefine/>
    <w:qFormat/>
    <w:uiPriority w:val="0"/>
    <w:pPr>
      <w:widowControl/>
      <w:shd w:val="clear" w:color="FFFFFF" w:fill="FFFFFF"/>
      <w:spacing w:before="640" w:after="200"/>
      <w:jc w:val="center"/>
      <w:outlineLvl w:val="0"/>
    </w:pPr>
    <w:rPr>
      <w:rFonts w:ascii="黑体" w:eastAsia="黑体"/>
      <w:kern w:val="0"/>
      <w:szCs w:val="20"/>
    </w:rPr>
  </w:style>
  <w:style w:type="paragraph" w:customStyle="1" w:styleId="42">
    <w:name w:val="_Style 34"/>
    <w:basedOn w:val="4"/>
    <w:next w:val="1"/>
    <w:autoRedefine/>
    <w:semiHidden/>
    <w:unhideWhenUsed/>
    <w:qFormat/>
    <w:uiPriority w:val="39"/>
    <w:pPr>
      <w:widowControl/>
      <w:spacing w:before="480" w:after="0" w:line="276" w:lineRule="auto"/>
      <w:jc w:val="left"/>
      <w:outlineLvl w:val="9"/>
    </w:pPr>
    <w:rPr>
      <w:rFonts w:ascii="Cambria" w:hAnsi="Cambria" w:cs="Times New Roman"/>
      <w:color w:val="365F91"/>
      <w:kern w:val="0"/>
      <w:sz w:val="28"/>
      <w:szCs w:val="28"/>
    </w:rPr>
  </w:style>
  <w:style w:type="paragraph" w:customStyle="1" w:styleId="43">
    <w:name w:val="封面标准名称"/>
    <w:autoRedefine/>
    <w:qFormat/>
    <w:uiPriority w:val="0"/>
    <w:pPr>
      <w:framePr w:w="9638" w:h="6917" w:wrap="around" w:vAnchor="margin" w:hAnchor="margin" w:xAlign="center" w:y="5955" w:anchorLock="1"/>
      <w:widowControl w:val="0"/>
      <w:spacing w:line="680" w:lineRule="atLeast"/>
      <w:jc w:val="center"/>
    </w:pPr>
    <w:rPr>
      <w:rFonts w:hint="eastAsia" w:ascii="黑体" w:hAnsi="Calibri" w:eastAsia="黑体" w:cs="Calibri"/>
      <w:sz w:val="52"/>
      <w:lang w:val="en-US" w:eastAsia="zh-CN" w:bidi="ar-SA"/>
    </w:rPr>
  </w:style>
  <w:style w:type="paragraph" w:customStyle="1" w:styleId="44">
    <w:name w:val="本文正文"/>
    <w:basedOn w:val="1"/>
    <w:autoRedefine/>
    <w:qFormat/>
    <w:uiPriority w:val="0"/>
    <w:pPr>
      <w:spacing w:after="120" w:line="360" w:lineRule="auto"/>
      <w:ind w:firstLine="200" w:firstLineChars="200"/>
    </w:pPr>
    <w:rPr>
      <w:rFonts w:ascii="宋体" w:hAnsi="宋体" w:cs="宋体"/>
      <w:sz w:val="24"/>
      <w:szCs w:val="20"/>
    </w:rPr>
  </w:style>
  <w:style w:type="paragraph" w:customStyle="1" w:styleId="45">
    <w:name w:val="二级无标题条"/>
    <w:basedOn w:val="1"/>
    <w:autoRedefine/>
    <w:qFormat/>
    <w:uiPriority w:val="0"/>
    <w:rPr>
      <w:rFonts w:ascii="宋体" w:hAnsi="宋体"/>
    </w:rPr>
  </w:style>
  <w:style w:type="paragraph" w:customStyle="1" w:styleId="46">
    <w:name w:val="一级无标题条"/>
    <w:basedOn w:val="1"/>
    <w:autoRedefine/>
    <w:qFormat/>
    <w:uiPriority w:val="0"/>
  </w:style>
  <w:style w:type="paragraph" w:customStyle="1" w:styleId="47">
    <w:name w:val="报告正文"/>
    <w:basedOn w:val="1"/>
    <w:autoRedefine/>
    <w:qFormat/>
    <w:uiPriority w:val="0"/>
    <w:pPr>
      <w:widowControl/>
      <w:spacing w:line="420" w:lineRule="exact"/>
      <w:ind w:firstLine="200" w:firstLineChars="200"/>
    </w:pPr>
    <w:rPr>
      <w:kern w:val="0"/>
      <w:sz w:val="24"/>
    </w:rPr>
  </w:style>
  <w:style w:type="paragraph" w:customStyle="1" w:styleId="48">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9">
    <w:name w:val="标准文件_章标题"/>
    <w:next w:val="48"/>
    <w:autoRedefine/>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character" w:customStyle="1" w:styleId="50">
    <w:name w:val="标准文件_段 Char"/>
    <w:basedOn w:val="20"/>
    <w:autoRedefine/>
    <w:qFormat/>
    <w:uiPriority w:val="0"/>
    <w:rPr>
      <w:rFonts w:hint="eastAsia" w:ascii="宋体" w:hAnsi="宋体" w:eastAsia="宋体" w:cs="宋体"/>
      <w:sz w:val="21"/>
    </w:rPr>
  </w:style>
  <w:style w:type="paragraph" w:customStyle="1" w:styleId="51">
    <w:name w:val="WPSOffice手动目录 1"/>
    <w:qFormat/>
    <w:uiPriority w:val="0"/>
    <w:rPr>
      <w:rFonts w:ascii="Times New Roman" w:hAnsi="Times New Roman" w:eastAsia="宋体" w:cs="Times New Roman"/>
      <w:lang w:val="en-US" w:eastAsia="zh-CN" w:bidi="ar-SA"/>
    </w:rPr>
  </w:style>
  <w:style w:type="paragraph" w:customStyle="1" w:styleId="52">
    <w:name w:val="修订1"/>
    <w:hidden/>
    <w:semiHidden/>
    <w:qFormat/>
    <w:uiPriority w:val="99"/>
    <w:rPr>
      <w:rFonts w:ascii="Calibri" w:hAnsi="Calibri" w:eastAsia="宋体" w:cs="Calibri"/>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actReview xmlns="http://schemas.wps.cn/vas-ai-hub/contract-review">
  <reviewItems>
    <reviewItem>
      <errorID>42f2f1ef-33fd-435b-b07c-7c2317f717fa</errorID>
      <errorWord>大多都</errorWord>
      <group>L1_Word</group>
      <groupName>字词问题</groupName>
      <ability>L2_Typo</ability>
      <abilityName>字词错误</abilityName>
      <candidateList>
        <item>大多</item>
      </candidateList>
      <explain/>
      <paraID>11A05EDE</paraID>
      <start>199</start>
      <end>202</end>
      <status>ignored</status>
      <modifiedWord/>
      <trackRevisions>false</trackRevisions>
    </reviewItem>
    <reviewItem>
      <errorID>80d47c9b-6ccb-4363-a5cd-e5fc69480a9c</errorID>
      <errorWord>对于</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11A05EDE</paraID>
      <start>309</start>
      <end>310</end>
      <status>modified</status>
      <modifiedWord>对</modifiedWord>
      <trackRevisions>false</trackRevisions>
    </reviewItem>
    <reviewItem>
      <errorID>aa45e62c-5d0b-4b12-8738-3e80ebeb8087</errorID>
      <errorWord>开展</errorWord>
      <group>L1_Grammar</group>
      <groupName>语法问题</groupName>
      <ability>L2_Grammar</ability>
      <abilityName>语法错误</abilityName>
      <candidateList>
        <item>召开</item>
      </candidateList>
      <explain>“开展～会议”搭配不当，建议修改为“召开～会议”。</explain>
      <paraID>72FCE58F</paraID>
      <start>33</start>
      <end>35</end>
      <status>modified</status>
      <modifiedWord>召开</modifiedWord>
      <trackRevisions>false</trackRevisions>
    </reviewItem>
    <reviewItem>
      <errorID>a16505f9-5dd8-42eb-92ed-48a653d94b60</errorID>
      <errorWord>密匙</errorWord>
      <group>L1_Word</group>
      <groupName>字词问题</groupName>
      <ability>L2_Typo</ability>
      <abilityName>字词错误</abilityName>
      <candidateList>
        <item>密钥</item>
      </candidateList>
      <explain>〈名〉密码和明码之间的对应替代关系。如以00，01，02，03代替字母A，B，C，D，那么00译成A，01译成B，02译成C，03译成D就是密钥。</explain>
      <paraID> A3F1480</paraID>
      <start>35</start>
      <end>37</end>
      <status>modified</status>
      <modifiedWord>密钥</modifiedWord>
      <trackRevisions>false</trackRevisions>
    </reviewItem>
    <reviewItem>
      <errorID>ee83cc0a-350c-4a18-9217-1efdaa69564f</errorID>
      <errorWord>密匙</errorWord>
      <group>L1_Word</group>
      <groupName>字词问题</groupName>
      <ability>L2_Typo</ability>
      <abilityName>字词错误</abilityName>
      <candidateList>
        <item>密钥</item>
      </candidateList>
      <explain>〈名〉密码和明码之间的对应替代关系。如以00，01，02，03代替字母A，B，C，D，那么00译成A，01译成B，02译成C，03译成D就是密钥。</explain>
      <paraID> A3F1480</paraID>
      <start>44</start>
      <end>46</end>
      <status>modified</status>
      <modifiedWord>密钥</modifiedWord>
      <trackRevisions>false</trackRevisions>
    </reviewItem>
    <reviewItem>
      <errorID>27ad3d1a-452e-4e4a-9b24-5cb7de58c4bc</errorID>
      <errorWord>法律、法规</errorWord>
      <group>L1_Word</group>
      <groupName>字词问题</groupName>
      <ability>L2_Typo</ability>
      <abilityName>字词错误</abilityName>
      <candidateList>
        <item>法律法规</item>
      </candidateList>
      <explain/>
      <paraID>7EEC8C66</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81F2BD3F-7E0F-4E48-864E-EAD732F19C61}">
  <ds:schemaRefs/>
</ds:datastoreItem>
</file>

<file path=customXml/itemProps2.xml><?xml version="1.0" encoding="utf-8"?>
<ds:datastoreItem xmlns:ds="http://schemas.openxmlformats.org/officeDocument/2006/customXml" ds:itemID="{d45a307f-4a44-4ab8-983a-5b3b41bfcf8f}">
  <ds:schemaRefs/>
</ds:datastoreItem>
</file>

<file path=docProps/app.xml><?xml version="1.0" encoding="utf-8"?>
<Properties xmlns="http://schemas.openxmlformats.org/officeDocument/2006/extended-properties" xmlns:vt="http://schemas.openxmlformats.org/officeDocument/2006/docPropsVTypes">
  <Template>Normal</Template>
  <Company>itsc</Company>
  <Pages>17</Pages>
  <Words>5083</Words>
  <Characters>5493</Characters>
  <Lines>76</Lines>
  <Paragraphs>21</Paragraphs>
  <TotalTime>5</TotalTime>
  <ScaleCrop>false</ScaleCrop>
  <LinksUpToDate>false</LinksUpToDate>
  <CharactersWithSpaces>5589</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2024-03-25T02:10:00Z</dcterms:created>
  <dc:creator>zhouxincai</dc:creator>
  <cp:lastModifiedBy>X</cp:lastModifiedBy>
  <cp:lastPrinted>2024-07-22T06:50:00Z</cp:lastPrinted>
  <dcterms:modified xsi:type="dcterms:W3CDTF">2026-02-10T06:04:32Z</dcterms:modified>
  <dc:title>中华人民共和国国家标准</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7587F9C6FED84B68BB2867D8DB251F4E_13</vt:lpwstr>
  </property>
  <property fmtid="{D5CDD505-2E9C-101B-9397-08002B2CF9AE}" pid="4" name="KSOTemplateDocerSaveRecord">
    <vt:lpwstr>eyJoZGlkIjoiNmMwZGI3OTI0NWY2MmQ1Yzk5YzAxMjE1ZWVlNzlmNTYiLCJ1c2VySWQiOiIxMjc2MDI0In0=</vt:lpwstr>
  </property>
</Properties>
</file>