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E15545">
      <w:pPr>
        <w:spacing w:after="120" w:afterLines="50"/>
        <w:jc w:val="center"/>
        <w:rPr>
          <w:rFonts w:ascii="Times New Roman" w:hAnsi="Times New Roman" w:eastAsia="黑体" w:cs="Times New Roman"/>
          <w:b/>
          <w:sz w:val="44"/>
          <w:szCs w:val="44"/>
          <w:lang w:eastAsia="zh-CN"/>
        </w:rPr>
      </w:pPr>
    </w:p>
    <w:p w14:paraId="461FB4B5">
      <w:pPr>
        <w:spacing w:after="120" w:afterLines="50"/>
        <w:jc w:val="center"/>
        <w:rPr>
          <w:rFonts w:ascii="Times New Roman" w:hAnsi="Times New Roman" w:eastAsia="黑体" w:cs="Times New Roman"/>
          <w:b/>
          <w:sz w:val="44"/>
          <w:szCs w:val="44"/>
          <w:lang w:eastAsia="zh-CN"/>
        </w:rPr>
      </w:pPr>
    </w:p>
    <w:p w14:paraId="21D8F5BC">
      <w:pPr>
        <w:spacing w:after="120" w:afterLines="50"/>
        <w:jc w:val="center"/>
        <w:rPr>
          <w:rFonts w:ascii="Times New Roman" w:hAnsi="Times New Roman" w:eastAsia="黑体" w:cs="Times New Roman"/>
          <w:b/>
          <w:sz w:val="44"/>
          <w:szCs w:val="44"/>
          <w:lang w:eastAsia="zh-CN"/>
        </w:rPr>
      </w:pPr>
    </w:p>
    <w:p w14:paraId="5350780D">
      <w:pPr>
        <w:spacing w:after="120" w:afterLines="50"/>
        <w:jc w:val="center"/>
        <w:rPr>
          <w:rFonts w:ascii="Times New Roman" w:hAnsi="Times New Roman" w:eastAsia="黑体" w:cs="Times New Roman"/>
          <w:b/>
          <w:sz w:val="44"/>
          <w:szCs w:val="44"/>
          <w:lang w:eastAsia="zh-CN"/>
        </w:rPr>
      </w:pPr>
    </w:p>
    <w:p w14:paraId="6D992856">
      <w:pPr>
        <w:spacing w:after="120" w:afterLines="50"/>
        <w:jc w:val="center"/>
        <w:rPr>
          <w:rFonts w:ascii="Times New Roman" w:hAnsi="Times New Roman" w:eastAsia="黑体" w:cs="Times New Roman"/>
          <w:b/>
          <w:sz w:val="44"/>
          <w:szCs w:val="44"/>
          <w:lang w:eastAsia="zh-CN"/>
        </w:rPr>
      </w:pPr>
    </w:p>
    <w:p w14:paraId="1439B94B">
      <w:pPr>
        <w:spacing w:after="120" w:afterLines="50"/>
        <w:jc w:val="center"/>
        <w:rPr>
          <w:rFonts w:ascii="Times New Roman" w:hAnsi="Times New Roman" w:eastAsia="黑体" w:cs="Times New Roman"/>
          <w:b/>
          <w:sz w:val="44"/>
          <w:szCs w:val="44"/>
          <w:lang w:eastAsia="zh-CN"/>
        </w:rPr>
      </w:pPr>
      <w:r>
        <w:rPr>
          <w:rFonts w:ascii="Times New Roman" w:hAnsi="Times New Roman" w:eastAsia="黑体" w:cs="Times New Roman"/>
          <w:b/>
          <w:sz w:val="44"/>
          <w:szCs w:val="44"/>
          <w:lang w:eastAsia="zh-CN"/>
        </w:rPr>
        <w:t>干散货码头露天堆场</w:t>
      </w:r>
      <w:r>
        <w:rPr>
          <w:rFonts w:hint="eastAsia" w:ascii="Times New Roman" w:hAnsi="Times New Roman" w:eastAsia="黑体" w:cs="Times New Roman"/>
          <w:b/>
          <w:sz w:val="44"/>
          <w:szCs w:val="44"/>
          <w:lang w:eastAsia="zh-CN"/>
        </w:rPr>
        <w:t>智能喷淋系统技术要求</w:t>
      </w:r>
    </w:p>
    <w:p w14:paraId="4ED75D8B">
      <w:pPr>
        <w:spacing w:after="120" w:afterLines="50"/>
        <w:jc w:val="center"/>
        <w:rPr>
          <w:rFonts w:ascii="Times New Roman" w:hAnsi="Times New Roman" w:eastAsia="黑体" w:cs="Times New Roman"/>
          <w:b/>
          <w:sz w:val="44"/>
          <w:szCs w:val="44"/>
          <w:lang w:eastAsia="zh-CN"/>
        </w:rPr>
      </w:pPr>
      <w:r>
        <w:rPr>
          <w:rFonts w:ascii="Times New Roman" w:hAnsi="Times New Roman" w:eastAsia="黑体" w:cs="Times New Roman"/>
          <w:b/>
          <w:sz w:val="44"/>
          <w:szCs w:val="44"/>
          <w:lang w:eastAsia="zh-CN"/>
        </w:rPr>
        <w:t>（征求意见稿）</w:t>
      </w:r>
    </w:p>
    <w:p w14:paraId="3DE3717C">
      <w:pPr>
        <w:spacing w:after="120" w:afterLines="50"/>
        <w:jc w:val="center"/>
        <w:rPr>
          <w:rFonts w:ascii="Times New Roman" w:hAnsi="Times New Roman" w:eastAsia="黑体" w:cs="Times New Roman"/>
          <w:b/>
          <w:sz w:val="44"/>
          <w:szCs w:val="44"/>
          <w:lang w:eastAsia="zh-CN"/>
        </w:rPr>
      </w:pPr>
    </w:p>
    <w:p w14:paraId="5ABEEEE2">
      <w:pPr>
        <w:spacing w:after="120" w:afterLines="50"/>
        <w:jc w:val="center"/>
        <w:rPr>
          <w:rFonts w:ascii="Times New Roman" w:hAnsi="Times New Roman" w:eastAsia="黑体" w:cs="Times New Roman"/>
          <w:b/>
          <w:sz w:val="44"/>
          <w:szCs w:val="44"/>
          <w:lang w:eastAsia="zh-CN"/>
        </w:rPr>
      </w:pPr>
      <w:r>
        <w:rPr>
          <w:rFonts w:ascii="Times New Roman" w:hAnsi="Times New Roman" w:eastAsia="黑体" w:cs="Times New Roman"/>
          <w:b/>
          <w:sz w:val="44"/>
          <w:szCs w:val="44"/>
          <w:lang w:eastAsia="zh-CN"/>
        </w:rPr>
        <w:t>编制说明</w:t>
      </w:r>
    </w:p>
    <w:p w14:paraId="1EC8A260">
      <w:pPr>
        <w:spacing w:after="120" w:afterLines="50"/>
        <w:jc w:val="center"/>
        <w:rPr>
          <w:rFonts w:ascii="Times New Roman" w:hAnsi="Times New Roman" w:eastAsia="黑体" w:cs="Times New Roman"/>
          <w:b/>
          <w:sz w:val="44"/>
          <w:szCs w:val="44"/>
          <w:lang w:eastAsia="zh-CN"/>
        </w:rPr>
      </w:pPr>
    </w:p>
    <w:p w14:paraId="064F7350">
      <w:pPr>
        <w:spacing w:after="120" w:afterLines="50"/>
        <w:jc w:val="center"/>
        <w:rPr>
          <w:rFonts w:ascii="Times New Roman" w:hAnsi="Times New Roman" w:eastAsia="黑体" w:cs="Times New Roman"/>
          <w:b/>
          <w:sz w:val="44"/>
          <w:szCs w:val="44"/>
          <w:lang w:eastAsia="zh-CN"/>
        </w:rPr>
      </w:pPr>
    </w:p>
    <w:p w14:paraId="2B9B1CF3">
      <w:pPr>
        <w:spacing w:after="120" w:afterLines="50"/>
        <w:jc w:val="center"/>
        <w:rPr>
          <w:rFonts w:ascii="Times New Roman" w:hAnsi="Times New Roman" w:eastAsia="黑体" w:cs="Times New Roman"/>
          <w:b/>
          <w:sz w:val="44"/>
          <w:szCs w:val="44"/>
          <w:lang w:eastAsia="zh-CN"/>
        </w:rPr>
      </w:pPr>
    </w:p>
    <w:p w14:paraId="293CF35E">
      <w:pPr>
        <w:spacing w:after="120" w:afterLines="50"/>
        <w:jc w:val="center"/>
        <w:rPr>
          <w:rFonts w:ascii="Times New Roman" w:hAnsi="Times New Roman" w:eastAsia="黑体" w:cs="Times New Roman"/>
          <w:b/>
          <w:sz w:val="44"/>
          <w:szCs w:val="44"/>
          <w:lang w:eastAsia="zh-CN"/>
        </w:rPr>
      </w:pPr>
    </w:p>
    <w:p w14:paraId="5DC60D62">
      <w:pPr>
        <w:spacing w:after="120" w:afterLines="50"/>
        <w:jc w:val="center"/>
        <w:rPr>
          <w:rFonts w:ascii="Times New Roman" w:hAnsi="Times New Roman" w:eastAsia="黑体" w:cs="Times New Roman"/>
          <w:b/>
          <w:sz w:val="44"/>
          <w:szCs w:val="44"/>
          <w:lang w:eastAsia="zh-CN"/>
        </w:rPr>
      </w:pPr>
    </w:p>
    <w:p w14:paraId="6C9C21C0">
      <w:pPr>
        <w:spacing w:after="120" w:afterLines="50"/>
        <w:jc w:val="center"/>
        <w:rPr>
          <w:rFonts w:ascii="Times New Roman" w:hAnsi="Times New Roman" w:eastAsia="黑体" w:cs="Times New Roman"/>
          <w:b/>
          <w:sz w:val="44"/>
          <w:szCs w:val="44"/>
          <w:lang w:eastAsia="zh-CN"/>
        </w:rPr>
      </w:pPr>
    </w:p>
    <w:p w14:paraId="1C903AC1">
      <w:pPr>
        <w:spacing w:after="120" w:afterLines="50"/>
        <w:jc w:val="center"/>
        <w:rPr>
          <w:rFonts w:ascii="Times New Roman" w:hAnsi="Times New Roman" w:eastAsia="黑体" w:cs="Times New Roman"/>
          <w:b/>
          <w:sz w:val="44"/>
          <w:szCs w:val="44"/>
          <w:lang w:eastAsia="zh-CN"/>
        </w:rPr>
      </w:pPr>
    </w:p>
    <w:p w14:paraId="175D6113">
      <w:pPr>
        <w:spacing w:after="120" w:afterLines="50"/>
        <w:jc w:val="center"/>
        <w:rPr>
          <w:rFonts w:ascii="Times New Roman" w:hAnsi="Times New Roman" w:eastAsia="黑体" w:cs="Times New Roman"/>
          <w:b/>
          <w:sz w:val="44"/>
          <w:szCs w:val="44"/>
          <w:lang w:eastAsia="zh-CN"/>
        </w:rPr>
      </w:pPr>
    </w:p>
    <w:p w14:paraId="46A987BA">
      <w:pPr>
        <w:spacing w:after="120" w:afterLines="50"/>
        <w:jc w:val="center"/>
        <w:rPr>
          <w:rFonts w:ascii="Times New Roman" w:hAnsi="Times New Roman" w:eastAsia="黑体" w:cs="Times New Roman"/>
          <w:b/>
          <w:sz w:val="44"/>
          <w:szCs w:val="44"/>
          <w:lang w:eastAsia="zh-CN"/>
        </w:rPr>
      </w:pPr>
    </w:p>
    <w:p w14:paraId="35E9CB53">
      <w:pPr>
        <w:spacing w:after="120" w:afterLines="50"/>
        <w:jc w:val="center"/>
        <w:rPr>
          <w:rFonts w:ascii="Times New Roman" w:hAnsi="Times New Roman" w:eastAsia="黑体" w:cs="Times New Roman"/>
          <w:b/>
          <w:sz w:val="44"/>
          <w:szCs w:val="44"/>
          <w:lang w:eastAsia="zh-CN"/>
        </w:rPr>
      </w:pPr>
    </w:p>
    <w:p w14:paraId="4A57ABE3">
      <w:pPr>
        <w:spacing w:line="360" w:lineRule="auto"/>
        <w:jc w:val="center"/>
        <w:rPr>
          <w:rFonts w:ascii="Times New Roman" w:hAnsi="Times New Roman" w:eastAsia="黑体" w:cs="Times New Roman"/>
          <w:b/>
          <w:sz w:val="36"/>
          <w:szCs w:val="36"/>
          <w:lang w:eastAsia="zh-CN"/>
        </w:rPr>
      </w:pPr>
      <w:r>
        <w:rPr>
          <w:rFonts w:ascii="Times New Roman" w:hAnsi="Times New Roman" w:eastAsia="黑体" w:cs="Times New Roman"/>
          <w:b/>
          <w:sz w:val="36"/>
          <w:szCs w:val="36"/>
          <w:lang w:eastAsia="zh-CN"/>
        </w:rPr>
        <w:t>标准起草组</w:t>
      </w:r>
    </w:p>
    <w:p w14:paraId="73506CBF">
      <w:pPr>
        <w:spacing w:line="360" w:lineRule="auto"/>
        <w:jc w:val="center"/>
        <w:rPr>
          <w:rFonts w:ascii="Times New Roman" w:hAnsi="Times New Roman" w:eastAsia="黑体" w:cs="Times New Roman"/>
          <w:b/>
          <w:sz w:val="36"/>
          <w:szCs w:val="36"/>
          <w:lang w:eastAsia="zh-CN"/>
        </w:rPr>
      </w:pPr>
      <w:r>
        <w:rPr>
          <w:rFonts w:ascii="Times New Roman" w:hAnsi="Times New Roman" w:eastAsia="黑体" w:cs="Times New Roman"/>
          <w:b/>
          <w:sz w:val="36"/>
          <w:szCs w:val="36"/>
          <w:lang w:eastAsia="zh-CN"/>
        </w:rPr>
        <w:t>202</w:t>
      </w:r>
      <w:r>
        <w:rPr>
          <w:rFonts w:hint="eastAsia" w:ascii="Times New Roman" w:hAnsi="Times New Roman" w:eastAsia="黑体" w:cs="Times New Roman"/>
          <w:b/>
          <w:sz w:val="36"/>
          <w:szCs w:val="36"/>
          <w:lang w:val="en-US" w:eastAsia="zh-CN"/>
        </w:rPr>
        <w:t>6</w:t>
      </w:r>
      <w:r>
        <w:rPr>
          <w:rFonts w:ascii="Times New Roman" w:hAnsi="Times New Roman" w:eastAsia="黑体" w:cs="Times New Roman"/>
          <w:b/>
          <w:sz w:val="36"/>
          <w:szCs w:val="36"/>
          <w:lang w:eastAsia="zh-CN"/>
        </w:rPr>
        <w:t>年</w:t>
      </w:r>
      <w:r>
        <w:rPr>
          <w:rFonts w:hint="eastAsia" w:ascii="Times New Roman" w:hAnsi="Times New Roman" w:eastAsia="黑体" w:cs="Times New Roman"/>
          <w:b/>
          <w:sz w:val="36"/>
          <w:szCs w:val="36"/>
          <w:lang w:val="en-US" w:eastAsia="zh-CN"/>
        </w:rPr>
        <w:t>2</w:t>
      </w:r>
      <w:bookmarkStart w:id="29" w:name="_GoBack"/>
      <w:bookmarkEnd w:id="29"/>
      <w:r>
        <w:rPr>
          <w:rFonts w:ascii="Times New Roman" w:hAnsi="Times New Roman" w:eastAsia="黑体" w:cs="Times New Roman"/>
          <w:b/>
          <w:sz w:val="36"/>
          <w:szCs w:val="36"/>
          <w:lang w:eastAsia="zh-CN"/>
        </w:rPr>
        <w:t>月</w:t>
      </w:r>
    </w:p>
    <w:p w14:paraId="6867F467">
      <w:pPr>
        <w:spacing w:line="376" w:lineRule="auto"/>
        <w:jc w:val="center"/>
        <w:rPr>
          <w:rFonts w:ascii="Times New Roman" w:hAnsi="Times New Roman" w:cs="Times New Roman"/>
          <w:sz w:val="31"/>
          <w:lang w:eastAsia="zh-CN"/>
        </w:rPr>
        <w:sectPr>
          <w:type w:val="continuous"/>
          <w:pgSz w:w="11910" w:h="16840"/>
          <w:pgMar w:top="851" w:right="1418" w:bottom="1134" w:left="1418" w:header="720" w:footer="720" w:gutter="0"/>
          <w:cols w:space="720" w:num="1"/>
          <w:docGrid w:linePitch="299" w:charSpace="0"/>
        </w:sectPr>
      </w:pPr>
    </w:p>
    <w:p w14:paraId="2DA1BB8F">
      <w:pPr>
        <w:spacing w:before="46"/>
        <w:ind w:left="3052" w:right="3051"/>
        <w:jc w:val="center"/>
        <w:rPr>
          <w:rFonts w:ascii="Times New Roman" w:hAnsi="Times New Roman" w:eastAsia="黑体" w:cs="Times New Roman"/>
          <w:b/>
          <w:sz w:val="32"/>
          <w:szCs w:val="32"/>
          <w:lang w:eastAsia="zh-CN"/>
        </w:rPr>
      </w:pPr>
      <w:r>
        <w:rPr>
          <w:rFonts w:ascii="Times New Roman" w:hAnsi="Times New Roman" w:eastAsia="黑体" w:cs="Times New Roman"/>
          <w:b/>
          <w:w w:val="105"/>
          <w:sz w:val="32"/>
          <w:szCs w:val="32"/>
          <w:lang w:eastAsia="zh-CN"/>
        </w:rPr>
        <w:t>目     录</w:t>
      </w:r>
    </w:p>
    <w:p w14:paraId="23A05BDC">
      <w:pPr>
        <w:pStyle w:val="6"/>
        <w:rPr>
          <w:rFonts w:ascii="Times New Roman" w:hAnsi="Times New Roman" w:cs="Times New Roman"/>
          <w:b/>
          <w:sz w:val="32"/>
          <w:lang w:eastAsia="zh-CN"/>
        </w:rPr>
      </w:pPr>
    </w:p>
    <w:p w14:paraId="063639D8">
      <w:pPr>
        <w:pStyle w:val="6"/>
        <w:rPr>
          <w:rFonts w:ascii="Times New Roman" w:hAnsi="Times New Roman" w:cs="Times New Roman"/>
          <w:b/>
          <w:sz w:val="32"/>
          <w:lang w:eastAsia="zh-CN"/>
        </w:rPr>
      </w:pPr>
    </w:p>
    <w:sdt>
      <w:sdtPr>
        <w:rPr>
          <w:rFonts w:ascii="Times New Roman" w:hAnsi="Times New Roman" w:cs="Times New Roman"/>
          <w:sz w:val="22"/>
          <w:szCs w:val="22"/>
        </w:rPr>
        <w:id w:val="271984541"/>
        <w:docPartObj>
          <w:docPartGallery w:val="Table of Contents"/>
          <w:docPartUnique/>
        </w:docPartObj>
      </w:sdtPr>
      <w:sdtEndPr>
        <w:rPr>
          <w:rFonts w:cs="Times New Roman" w:asciiTheme="minorEastAsia" w:hAnsiTheme="minorEastAsia" w:eastAsiaTheme="minorEastAsia"/>
          <w:sz w:val="21"/>
          <w:szCs w:val="21"/>
        </w:rPr>
      </w:sdtEndPr>
      <w:sdtContent>
        <w:p w14:paraId="0F77FA19">
          <w:pPr>
            <w:pStyle w:val="9"/>
            <w:tabs>
              <w:tab w:val="right" w:leader="dot" w:pos="9520"/>
            </w:tabs>
            <w:rPr>
              <w:rFonts w:asciiTheme="minorHAnsi" w:hAnsiTheme="minorHAnsi" w:eastAsiaTheme="minorEastAsia" w:cstheme="minorBidi"/>
              <w:kern w:val="2"/>
              <w:sz w:val="21"/>
              <w:szCs w:val="22"/>
              <w:lang w:eastAsia="zh-CN"/>
              <w14:ligatures w14:val="standardContextual"/>
            </w:rPr>
          </w:pPr>
          <w:r>
            <w:rPr>
              <w:rFonts w:cs="Times New Roman"/>
              <w:sz w:val="24"/>
              <w:szCs w:val="24"/>
            </w:rPr>
            <w:fldChar w:fldCharType="begin"/>
          </w:r>
          <w:r>
            <w:rPr>
              <w:rFonts w:cs="Times New Roman"/>
              <w:sz w:val="24"/>
              <w:szCs w:val="24"/>
            </w:rPr>
            <w:instrText xml:space="preserve">TOC \o "1-1" \h \z \u </w:instrText>
          </w:r>
          <w:r>
            <w:rPr>
              <w:rFonts w:cs="Times New Roman"/>
              <w:sz w:val="24"/>
              <w:szCs w:val="24"/>
            </w:rPr>
            <w:fldChar w:fldCharType="separate"/>
          </w:r>
          <w:r>
            <w:fldChar w:fldCharType="begin"/>
          </w:r>
          <w:r>
            <w:instrText xml:space="preserve"> HYPERLINK \l "_Toc178580717" </w:instrText>
          </w:r>
          <w:r>
            <w:fldChar w:fldCharType="separate"/>
          </w:r>
          <w:r>
            <w:rPr>
              <w:rStyle w:val="15"/>
              <w:rFonts w:ascii="Times New Roman" w:hAnsi="Times New Roman" w:eastAsia="黑体" w:cs="Times New Roman"/>
              <w:spacing w:val="-2"/>
              <w:lang w:eastAsia="zh-CN"/>
            </w:rPr>
            <w:t>一、工作简况</w:t>
          </w:r>
          <w:r>
            <w:tab/>
          </w:r>
          <w:r>
            <w:fldChar w:fldCharType="begin"/>
          </w:r>
          <w:r>
            <w:instrText xml:space="preserve"> PAGEREF _Toc178580717 \h </w:instrText>
          </w:r>
          <w:r>
            <w:fldChar w:fldCharType="separate"/>
          </w:r>
          <w:r>
            <w:t>3</w:t>
          </w:r>
          <w:r>
            <w:fldChar w:fldCharType="end"/>
          </w:r>
          <w:r>
            <w:fldChar w:fldCharType="end"/>
          </w:r>
        </w:p>
        <w:p w14:paraId="4C7D96C4">
          <w:pPr>
            <w:pStyle w:val="9"/>
            <w:tabs>
              <w:tab w:val="right" w:leader="dot" w:pos="9520"/>
            </w:tabs>
            <w:rPr>
              <w:rFonts w:asciiTheme="minorHAnsi" w:hAnsiTheme="minorHAnsi" w:eastAsiaTheme="minorEastAsia" w:cstheme="minorBidi"/>
              <w:kern w:val="2"/>
              <w:sz w:val="21"/>
              <w:szCs w:val="22"/>
              <w:lang w:eastAsia="zh-CN"/>
              <w14:ligatures w14:val="standardContextual"/>
            </w:rPr>
          </w:pPr>
          <w:r>
            <w:fldChar w:fldCharType="begin"/>
          </w:r>
          <w:r>
            <w:instrText xml:space="preserve"> HYPERLINK \l "_Toc178580718" </w:instrText>
          </w:r>
          <w:r>
            <w:fldChar w:fldCharType="separate"/>
          </w:r>
          <w:r>
            <w:rPr>
              <w:rStyle w:val="15"/>
              <w:rFonts w:ascii="Times New Roman" w:hAnsi="Times New Roman" w:eastAsia="黑体" w:cs="Times New Roman"/>
              <w:spacing w:val="-2"/>
              <w:lang w:eastAsia="zh-CN"/>
            </w:rPr>
            <w:t>二、标准编制原则和确定标准主要内容的论据</w:t>
          </w:r>
          <w:r>
            <w:tab/>
          </w:r>
          <w:r>
            <w:fldChar w:fldCharType="begin"/>
          </w:r>
          <w:r>
            <w:instrText xml:space="preserve"> PAGEREF _Toc178580718 \h </w:instrText>
          </w:r>
          <w:r>
            <w:fldChar w:fldCharType="separate"/>
          </w:r>
          <w:r>
            <w:t>5</w:t>
          </w:r>
          <w:r>
            <w:fldChar w:fldCharType="end"/>
          </w:r>
          <w:r>
            <w:fldChar w:fldCharType="end"/>
          </w:r>
        </w:p>
        <w:p w14:paraId="45CDF56D">
          <w:pPr>
            <w:pStyle w:val="9"/>
            <w:tabs>
              <w:tab w:val="right" w:leader="dot" w:pos="9520"/>
            </w:tabs>
            <w:rPr>
              <w:rFonts w:asciiTheme="minorHAnsi" w:hAnsiTheme="minorHAnsi" w:eastAsiaTheme="minorEastAsia" w:cstheme="minorBidi"/>
              <w:kern w:val="2"/>
              <w:sz w:val="21"/>
              <w:szCs w:val="22"/>
              <w:lang w:eastAsia="zh-CN"/>
              <w14:ligatures w14:val="standardContextual"/>
            </w:rPr>
          </w:pPr>
          <w:r>
            <w:fldChar w:fldCharType="begin"/>
          </w:r>
          <w:r>
            <w:instrText xml:space="preserve"> HYPERLINK \l "_Toc178580719" </w:instrText>
          </w:r>
          <w:r>
            <w:fldChar w:fldCharType="separate"/>
          </w:r>
          <w:r>
            <w:rPr>
              <w:rStyle w:val="15"/>
              <w:rFonts w:ascii="Times New Roman" w:hAnsi="Times New Roman" w:eastAsia="黑体" w:cs="Times New Roman"/>
              <w:spacing w:val="-2"/>
              <w:lang w:eastAsia="zh-CN"/>
            </w:rPr>
            <w:t>三、 主要技术方案分析与应用案例分析</w:t>
          </w:r>
          <w:r>
            <w:tab/>
          </w:r>
          <w:r>
            <w:fldChar w:fldCharType="begin"/>
          </w:r>
          <w:r>
            <w:instrText xml:space="preserve"> PAGEREF _Toc178580719 \h </w:instrText>
          </w:r>
          <w:r>
            <w:fldChar w:fldCharType="separate"/>
          </w:r>
          <w:r>
            <w:t>8</w:t>
          </w:r>
          <w:r>
            <w:fldChar w:fldCharType="end"/>
          </w:r>
          <w:r>
            <w:fldChar w:fldCharType="end"/>
          </w:r>
        </w:p>
        <w:p w14:paraId="001B1516">
          <w:pPr>
            <w:pStyle w:val="9"/>
            <w:tabs>
              <w:tab w:val="right" w:leader="dot" w:pos="9520"/>
            </w:tabs>
            <w:rPr>
              <w:rFonts w:asciiTheme="minorHAnsi" w:hAnsiTheme="minorHAnsi" w:eastAsiaTheme="minorEastAsia" w:cstheme="minorBidi"/>
              <w:kern w:val="2"/>
              <w:sz w:val="21"/>
              <w:szCs w:val="22"/>
              <w:lang w:eastAsia="zh-CN"/>
              <w14:ligatures w14:val="standardContextual"/>
            </w:rPr>
          </w:pPr>
          <w:r>
            <w:fldChar w:fldCharType="begin"/>
          </w:r>
          <w:r>
            <w:instrText xml:space="preserve"> HYPERLINK \l "_Toc178580720" </w:instrText>
          </w:r>
          <w:r>
            <w:fldChar w:fldCharType="separate"/>
          </w:r>
          <w:r>
            <w:rPr>
              <w:rStyle w:val="15"/>
              <w:rFonts w:ascii="Times New Roman" w:hAnsi="Times New Roman" w:eastAsia="黑体" w:cs="Times New Roman"/>
              <w:spacing w:val="-2"/>
              <w:lang w:eastAsia="zh-CN"/>
            </w:rPr>
            <w:t>四、与国际、国外同类标准水平的对比情况</w:t>
          </w:r>
          <w:r>
            <w:tab/>
          </w:r>
          <w:r>
            <w:fldChar w:fldCharType="begin"/>
          </w:r>
          <w:r>
            <w:instrText xml:space="preserve"> PAGEREF _Toc178580720 \h </w:instrText>
          </w:r>
          <w:r>
            <w:fldChar w:fldCharType="separate"/>
          </w:r>
          <w:r>
            <w:t>9</w:t>
          </w:r>
          <w:r>
            <w:fldChar w:fldCharType="end"/>
          </w:r>
          <w:r>
            <w:fldChar w:fldCharType="end"/>
          </w:r>
        </w:p>
        <w:p w14:paraId="22081E83">
          <w:pPr>
            <w:pStyle w:val="9"/>
            <w:tabs>
              <w:tab w:val="right" w:leader="dot" w:pos="9520"/>
            </w:tabs>
            <w:rPr>
              <w:rFonts w:asciiTheme="minorHAnsi" w:hAnsiTheme="minorHAnsi" w:eastAsiaTheme="minorEastAsia" w:cstheme="minorBidi"/>
              <w:kern w:val="2"/>
              <w:sz w:val="21"/>
              <w:szCs w:val="22"/>
              <w:lang w:eastAsia="zh-CN"/>
              <w14:ligatures w14:val="standardContextual"/>
            </w:rPr>
          </w:pPr>
          <w:r>
            <w:fldChar w:fldCharType="begin"/>
          </w:r>
          <w:r>
            <w:instrText xml:space="preserve"> HYPERLINK \l "_Toc178580721" </w:instrText>
          </w:r>
          <w:r>
            <w:fldChar w:fldCharType="separate"/>
          </w:r>
          <w:r>
            <w:rPr>
              <w:rStyle w:val="15"/>
              <w:rFonts w:ascii="Times New Roman" w:hAnsi="Times New Roman" w:eastAsia="黑体" w:cs="Times New Roman"/>
              <w:spacing w:val="-2"/>
              <w:lang w:eastAsia="zh-CN"/>
            </w:rPr>
            <w:t>五、与有关现行法律、法规和强制性标准的关系</w:t>
          </w:r>
          <w:r>
            <w:tab/>
          </w:r>
          <w:r>
            <w:fldChar w:fldCharType="begin"/>
          </w:r>
          <w:r>
            <w:instrText xml:space="preserve"> PAGEREF _Toc178580721 \h </w:instrText>
          </w:r>
          <w:r>
            <w:fldChar w:fldCharType="separate"/>
          </w:r>
          <w:r>
            <w:t>9</w:t>
          </w:r>
          <w:r>
            <w:fldChar w:fldCharType="end"/>
          </w:r>
          <w:r>
            <w:fldChar w:fldCharType="end"/>
          </w:r>
        </w:p>
        <w:p w14:paraId="1B59FA4D">
          <w:pPr>
            <w:pStyle w:val="9"/>
            <w:tabs>
              <w:tab w:val="right" w:leader="dot" w:pos="9520"/>
            </w:tabs>
            <w:rPr>
              <w:rFonts w:asciiTheme="minorHAnsi" w:hAnsiTheme="minorHAnsi" w:eastAsiaTheme="minorEastAsia" w:cstheme="minorBidi"/>
              <w:kern w:val="2"/>
              <w:sz w:val="21"/>
              <w:szCs w:val="22"/>
              <w:lang w:eastAsia="zh-CN"/>
              <w14:ligatures w14:val="standardContextual"/>
            </w:rPr>
          </w:pPr>
          <w:r>
            <w:fldChar w:fldCharType="begin"/>
          </w:r>
          <w:r>
            <w:instrText xml:space="preserve"> HYPERLINK \l "_Toc178580722" </w:instrText>
          </w:r>
          <w:r>
            <w:fldChar w:fldCharType="separate"/>
          </w:r>
          <w:r>
            <w:rPr>
              <w:rStyle w:val="15"/>
              <w:rFonts w:ascii="Times New Roman" w:hAnsi="Times New Roman" w:eastAsia="黑体" w:cs="Times New Roman"/>
              <w:spacing w:val="-2"/>
              <w:lang w:eastAsia="zh-CN"/>
            </w:rPr>
            <w:t>六、重大分歧意见的处理经过和依据</w:t>
          </w:r>
          <w:r>
            <w:tab/>
          </w:r>
          <w:r>
            <w:fldChar w:fldCharType="begin"/>
          </w:r>
          <w:r>
            <w:instrText xml:space="preserve"> PAGEREF _Toc178580722 \h </w:instrText>
          </w:r>
          <w:r>
            <w:fldChar w:fldCharType="separate"/>
          </w:r>
          <w:r>
            <w:t>9</w:t>
          </w:r>
          <w:r>
            <w:fldChar w:fldCharType="end"/>
          </w:r>
          <w:r>
            <w:fldChar w:fldCharType="end"/>
          </w:r>
        </w:p>
        <w:p w14:paraId="627E4D9D">
          <w:pPr>
            <w:pStyle w:val="9"/>
            <w:tabs>
              <w:tab w:val="right" w:leader="dot" w:pos="9520"/>
            </w:tabs>
            <w:rPr>
              <w:rFonts w:asciiTheme="minorHAnsi" w:hAnsiTheme="minorHAnsi" w:eastAsiaTheme="minorEastAsia" w:cstheme="minorBidi"/>
              <w:kern w:val="2"/>
              <w:sz w:val="21"/>
              <w:szCs w:val="22"/>
              <w:lang w:eastAsia="zh-CN"/>
              <w14:ligatures w14:val="standardContextual"/>
            </w:rPr>
          </w:pPr>
          <w:r>
            <w:fldChar w:fldCharType="begin"/>
          </w:r>
          <w:r>
            <w:instrText xml:space="preserve"> HYPERLINK \l "_Toc178580723" </w:instrText>
          </w:r>
          <w:r>
            <w:fldChar w:fldCharType="separate"/>
          </w:r>
          <w:r>
            <w:rPr>
              <w:rStyle w:val="15"/>
              <w:rFonts w:ascii="Times New Roman" w:hAnsi="Times New Roman" w:eastAsia="黑体" w:cs="Times New Roman"/>
              <w:spacing w:val="-2"/>
              <w:lang w:eastAsia="zh-CN"/>
            </w:rPr>
            <w:t>七、贯彻标准的要求和措施建议（包括组织措施、技术措施、过渡办法等内容）</w:t>
          </w:r>
          <w:r>
            <w:tab/>
          </w:r>
          <w:r>
            <w:fldChar w:fldCharType="begin"/>
          </w:r>
          <w:r>
            <w:instrText xml:space="preserve"> PAGEREF _Toc178580723 \h </w:instrText>
          </w:r>
          <w:r>
            <w:fldChar w:fldCharType="separate"/>
          </w:r>
          <w:r>
            <w:t>9</w:t>
          </w:r>
          <w:r>
            <w:fldChar w:fldCharType="end"/>
          </w:r>
          <w:r>
            <w:fldChar w:fldCharType="end"/>
          </w:r>
        </w:p>
        <w:p w14:paraId="5C963CFD">
          <w:pPr>
            <w:pStyle w:val="9"/>
            <w:tabs>
              <w:tab w:val="right" w:leader="dot" w:pos="9520"/>
            </w:tabs>
            <w:rPr>
              <w:rFonts w:asciiTheme="minorHAnsi" w:hAnsiTheme="minorHAnsi" w:eastAsiaTheme="minorEastAsia" w:cstheme="minorBidi"/>
              <w:kern w:val="2"/>
              <w:sz w:val="21"/>
              <w:szCs w:val="22"/>
              <w:lang w:eastAsia="zh-CN"/>
              <w14:ligatures w14:val="standardContextual"/>
            </w:rPr>
          </w:pPr>
          <w:r>
            <w:fldChar w:fldCharType="begin"/>
          </w:r>
          <w:r>
            <w:instrText xml:space="preserve"> HYPERLINK \l "_Toc178580724" </w:instrText>
          </w:r>
          <w:r>
            <w:fldChar w:fldCharType="separate"/>
          </w:r>
          <w:r>
            <w:rPr>
              <w:rStyle w:val="15"/>
              <w:rFonts w:ascii="Times New Roman" w:hAnsi="Times New Roman" w:eastAsia="黑体" w:cs="Times New Roman"/>
              <w:spacing w:val="-2"/>
              <w:lang w:eastAsia="zh-CN"/>
            </w:rPr>
            <w:t>八、废止现行有关标准的建议</w:t>
          </w:r>
          <w:r>
            <w:tab/>
          </w:r>
          <w:r>
            <w:fldChar w:fldCharType="begin"/>
          </w:r>
          <w:r>
            <w:instrText xml:space="preserve"> PAGEREF _Toc178580724 \h </w:instrText>
          </w:r>
          <w:r>
            <w:fldChar w:fldCharType="separate"/>
          </w:r>
          <w:r>
            <w:t>10</w:t>
          </w:r>
          <w:r>
            <w:fldChar w:fldCharType="end"/>
          </w:r>
          <w:r>
            <w:fldChar w:fldCharType="end"/>
          </w:r>
        </w:p>
        <w:p w14:paraId="3B5DCC89">
          <w:pPr>
            <w:pStyle w:val="9"/>
            <w:tabs>
              <w:tab w:val="right" w:leader="dot" w:pos="9520"/>
            </w:tabs>
            <w:rPr>
              <w:rFonts w:asciiTheme="minorHAnsi" w:hAnsiTheme="minorHAnsi" w:eastAsiaTheme="minorEastAsia" w:cstheme="minorBidi"/>
              <w:kern w:val="2"/>
              <w:sz w:val="21"/>
              <w:szCs w:val="22"/>
              <w:lang w:eastAsia="zh-CN"/>
              <w14:ligatures w14:val="standardContextual"/>
            </w:rPr>
          </w:pPr>
          <w:r>
            <w:fldChar w:fldCharType="begin"/>
          </w:r>
          <w:r>
            <w:instrText xml:space="preserve"> HYPERLINK \l "_Toc178580725" </w:instrText>
          </w:r>
          <w:r>
            <w:fldChar w:fldCharType="separate"/>
          </w:r>
          <w:r>
            <w:rPr>
              <w:rStyle w:val="15"/>
              <w:rFonts w:ascii="Times New Roman" w:hAnsi="Times New Roman" w:eastAsia="黑体" w:cs="Times New Roman"/>
              <w:spacing w:val="-2"/>
              <w:lang w:eastAsia="zh-CN"/>
            </w:rPr>
            <w:t>九、其他应予说明的事项</w:t>
          </w:r>
          <w:r>
            <w:tab/>
          </w:r>
          <w:r>
            <w:fldChar w:fldCharType="begin"/>
          </w:r>
          <w:r>
            <w:instrText xml:space="preserve"> PAGEREF _Toc178580725 \h </w:instrText>
          </w:r>
          <w:r>
            <w:fldChar w:fldCharType="separate"/>
          </w:r>
          <w:r>
            <w:t>10</w:t>
          </w:r>
          <w:r>
            <w:fldChar w:fldCharType="end"/>
          </w:r>
          <w:r>
            <w:fldChar w:fldCharType="end"/>
          </w:r>
        </w:p>
        <w:p w14:paraId="40726DD0">
          <w:pPr>
            <w:rPr>
              <w:rFonts w:cs="Times New Roman" w:asciiTheme="minorEastAsia" w:hAnsiTheme="minorEastAsia" w:eastAsiaTheme="minorEastAsia"/>
              <w:sz w:val="21"/>
              <w:szCs w:val="21"/>
            </w:rPr>
          </w:pPr>
          <w:r>
            <w:rPr>
              <w:rFonts w:cs="Times New Roman"/>
              <w:sz w:val="24"/>
              <w:szCs w:val="24"/>
            </w:rPr>
            <w:fldChar w:fldCharType="end"/>
          </w:r>
        </w:p>
      </w:sdtContent>
    </w:sdt>
    <w:p w14:paraId="3FDBEA83">
      <w:pPr>
        <w:rPr>
          <w:rFonts w:ascii="Times New Roman" w:hAnsi="Times New Roman" w:cs="Times New Roman"/>
        </w:rPr>
        <w:sectPr>
          <w:footerReference r:id="rId3" w:type="default"/>
          <w:pgSz w:w="11910" w:h="16840"/>
          <w:pgMar w:top="1500" w:right="1180" w:bottom="1200" w:left="1200" w:header="0" w:footer="1003" w:gutter="0"/>
          <w:cols w:space="720" w:num="1"/>
        </w:sectPr>
      </w:pPr>
    </w:p>
    <w:p w14:paraId="634FC360">
      <w:pPr>
        <w:pStyle w:val="2"/>
        <w:spacing w:before="240" w:after="120" w:afterLines="50"/>
        <w:ind w:left="607"/>
        <w:rPr>
          <w:rFonts w:ascii="Times New Roman" w:hAnsi="Times New Roman" w:eastAsia="黑体" w:cs="Times New Roman"/>
          <w:sz w:val="28"/>
          <w:szCs w:val="28"/>
          <w:lang w:eastAsia="zh-CN"/>
        </w:rPr>
      </w:pPr>
      <w:bookmarkStart w:id="0" w:name="_Toc178580717"/>
      <w:r>
        <w:rPr>
          <w:rFonts w:ascii="Times New Roman" w:hAnsi="Times New Roman" w:eastAsia="黑体" w:cs="Times New Roman"/>
          <w:spacing w:val="-2"/>
          <w:sz w:val="28"/>
          <w:szCs w:val="28"/>
          <w:lang w:eastAsia="zh-CN"/>
        </w:rPr>
        <w:t>一、工作简况</w:t>
      </w:r>
      <w:bookmarkEnd w:id="0"/>
    </w:p>
    <w:p w14:paraId="1660E2D4">
      <w:pPr>
        <w:spacing w:before="240" w:after="240"/>
        <w:ind w:left="607"/>
        <w:rPr>
          <w:rFonts w:ascii="Times New Roman" w:hAnsi="Times New Roman" w:cs="Times New Roman"/>
          <w:b/>
          <w:sz w:val="24"/>
          <w:szCs w:val="24"/>
          <w:lang w:eastAsia="zh-CN"/>
        </w:rPr>
      </w:pPr>
      <w:r>
        <w:rPr>
          <w:rFonts w:ascii="Times New Roman" w:hAnsi="Times New Roman" w:cs="Times New Roman"/>
          <w:b/>
          <w:sz w:val="24"/>
          <w:szCs w:val="24"/>
          <w:lang w:eastAsia="zh-CN"/>
        </w:rPr>
        <w:t>（一）任务来源</w:t>
      </w:r>
    </w:p>
    <w:p w14:paraId="16D1C0BF">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团体标准《</w:t>
      </w:r>
      <w:r>
        <w:rPr>
          <w:rFonts w:hint="eastAsia" w:ascii="Times New Roman" w:hAnsi="Times New Roman" w:cs="Times New Roman"/>
          <w:lang w:eastAsia="zh-CN"/>
        </w:rPr>
        <w:t>干散货码头露天堆场智能喷淋系统技术要求</w:t>
      </w:r>
      <w:r>
        <w:rPr>
          <w:rFonts w:ascii="Times New Roman" w:hAnsi="Times New Roman" w:cs="Times New Roman"/>
          <w:lang w:eastAsia="zh-CN"/>
        </w:rPr>
        <w:t xml:space="preserve">》根据中国港口协会关于下达2021年中国港口协会团体标准化计划通知（中港协行函[2021]21 号）的要求，计划编号 </w:t>
      </w:r>
      <w:r>
        <w:rPr>
          <w:rFonts w:hint="eastAsia" w:ascii="Times New Roman" w:hAnsi="Times New Roman" w:cs="Times New Roman"/>
          <w:lang w:eastAsia="zh-CN"/>
        </w:rPr>
        <w:t>2021-25</w:t>
      </w:r>
      <w:r>
        <w:rPr>
          <w:rFonts w:ascii="Times New Roman" w:hAnsi="Times New Roman" w:cs="Times New Roman"/>
          <w:lang w:eastAsia="zh-CN"/>
        </w:rPr>
        <w:t xml:space="preserve"> 的安排，</w:t>
      </w:r>
      <w:r>
        <w:rPr>
          <w:rFonts w:hint="eastAsia" w:ascii="Times New Roman" w:hAnsi="Times New Roman" w:cs="Times New Roman"/>
          <w:lang w:eastAsia="zh-CN"/>
        </w:rPr>
        <w:t>由天科院环境科技发展（天津）有限公司牵头，秦皇岛港股份有限公司、辽宁港口集团有限公司、天津港股份有限公司、山东省港口集团有限公司参加该标准的制定任务。</w:t>
      </w:r>
    </w:p>
    <w:p w14:paraId="594CBEB4">
      <w:pPr>
        <w:spacing w:before="240" w:after="240"/>
        <w:ind w:left="607"/>
        <w:rPr>
          <w:rFonts w:ascii="Times New Roman" w:hAnsi="Times New Roman" w:cs="Times New Roman"/>
          <w:b/>
          <w:sz w:val="24"/>
          <w:szCs w:val="24"/>
          <w:lang w:eastAsia="zh-CN"/>
        </w:rPr>
      </w:pPr>
      <w:r>
        <w:rPr>
          <w:rFonts w:ascii="Times New Roman" w:hAnsi="Times New Roman" w:cs="Times New Roman"/>
          <w:b/>
          <w:sz w:val="24"/>
          <w:szCs w:val="24"/>
          <w:lang w:eastAsia="zh-CN"/>
        </w:rPr>
        <w:t>（二）起草单位</w:t>
      </w:r>
    </w:p>
    <w:p w14:paraId="649FE3DC">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标准编写主要由天科院环境科技发展（天津）有限公司负责，协作单位主要为</w:t>
      </w:r>
      <w:r>
        <w:rPr>
          <w:rFonts w:hint="eastAsia" w:ascii="Times New Roman" w:hAnsi="Times New Roman" w:cs="Times New Roman"/>
          <w:lang w:eastAsia="zh-CN"/>
        </w:rPr>
        <w:t>秦皇岛港股份有限公司、辽宁港口集团有限公司、天津港股份有限公司、山东省港口集团有限公司</w:t>
      </w:r>
      <w:r>
        <w:rPr>
          <w:rFonts w:ascii="Times New Roman" w:hAnsi="Times New Roman" w:cs="Times New Roman"/>
          <w:lang w:eastAsia="zh-CN"/>
        </w:rPr>
        <w:t>。</w:t>
      </w:r>
    </w:p>
    <w:p w14:paraId="762E919D">
      <w:pPr>
        <w:spacing w:before="240" w:after="240"/>
        <w:ind w:left="607"/>
        <w:rPr>
          <w:rFonts w:ascii="Times New Roman" w:hAnsi="Times New Roman" w:cs="Times New Roman"/>
          <w:b/>
          <w:sz w:val="24"/>
          <w:szCs w:val="24"/>
          <w:lang w:eastAsia="zh-CN"/>
        </w:rPr>
      </w:pPr>
      <w:r>
        <w:rPr>
          <w:rFonts w:ascii="Times New Roman" w:hAnsi="Times New Roman" w:cs="Times New Roman"/>
          <w:b/>
          <w:sz w:val="24"/>
          <w:szCs w:val="24"/>
          <w:lang w:eastAsia="zh-CN"/>
        </w:rPr>
        <w:t>（三）主要起草人及其所做的工作</w:t>
      </w:r>
    </w:p>
    <w:p w14:paraId="10AF9F37">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标准主要起草人：</w:t>
      </w:r>
      <w:r>
        <w:rPr>
          <w:rFonts w:hint="eastAsia" w:ascii="Times New Roman" w:hAnsi="Times New Roman" w:cs="Times New Roman"/>
          <w:lang w:eastAsia="zh-CN"/>
        </w:rPr>
        <w:t>张春意、马贺、孙虎、黄文栋、赵鲁华、薛永华、朱波永、王钰、杨忠、秦涛、井亮、徐鹏、浦家飞、孙超、王英、李金钊、王宝明</w:t>
      </w:r>
      <w:r>
        <w:rPr>
          <w:rFonts w:ascii="Times New Roman" w:hAnsi="Times New Roman" w:cs="Times New Roman"/>
          <w:lang w:eastAsia="zh-CN"/>
        </w:rPr>
        <w:t>等。</w:t>
      </w:r>
    </w:p>
    <w:p w14:paraId="027683F8">
      <w:pPr>
        <w:pStyle w:val="6"/>
        <w:spacing w:line="362" w:lineRule="auto"/>
        <w:ind w:left="609" w:right="812" w:firstLine="420"/>
        <w:jc w:val="both"/>
        <w:rPr>
          <w:rFonts w:ascii="Times New Roman" w:hAnsi="Times New Roman" w:cs="Times New Roman"/>
          <w:lang w:eastAsia="zh-CN"/>
        </w:rPr>
      </w:pPr>
      <w:r>
        <w:rPr>
          <w:rFonts w:ascii="Times New Roman" w:hAnsi="Times New Roman" w:cs="Times New Roman"/>
          <w:lang w:eastAsia="zh-CN"/>
        </w:rPr>
        <w:t>起草人任务分工见表 1-1。</w:t>
      </w:r>
    </w:p>
    <w:p w14:paraId="3B6BEA69">
      <w:pPr>
        <w:pStyle w:val="6"/>
        <w:spacing w:before="120" w:beforeLines="50" w:after="120" w:afterLines="50"/>
        <w:ind w:left="607" w:right="851"/>
        <w:jc w:val="center"/>
        <w:rPr>
          <w:rFonts w:ascii="Times New Roman" w:hAnsi="Times New Roman" w:eastAsia="黑体" w:cs="Times New Roman"/>
          <w:sz w:val="21"/>
          <w:szCs w:val="21"/>
          <w:lang w:eastAsia="zh-CN"/>
        </w:rPr>
      </w:pPr>
      <w:r>
        <w:rPr>
          <w:rFonts w:ascii="Times New Roman" w:hAnsi="Times New Roman" w:eastAsia="黑体" w:cs="Times New Roman"/>
          <w:sz w:val="21"/>
          <w:szCs w:val="21"/>
          <w:lang w:eastAsia="zh-CN"/>
        </w:rPr>
        <w:t>表1-1  标准主要起草人任务分工</w:t>
      </w:r>
    </w:p>
    <w:tbl>
      <w:tblPr>
        <w:tblStyle w:val="13"/>
        <w:tblW w:w="8222" w:type="dxa"/>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5"/>
        <w:gridCol w:w="1537"/>
        <w:gridCol w:w="1214"/>
        <w:gridCol w:w="709"/>
        <w:gridCol w:w="3827"/>
      </w:tblGrid>
      <w:tr w14:paraId="2061C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D8D8D8" w:themeFill="background1" w:themeFillShade="D9"/>
            <w:vAlign w:val="center"/>
          </w:tcPr>
          <w:p w14:paraId="2858046C">
            <w:pPr>
              <w:pStyle w:val="20"/>
              <w:jc w:val="center"/>
              <w:rPr>
                <w:rFonts w:cs="Times New Roman" w:asciiTheme="minorEastAsia" w:hAnsiTheme="minorEastAsia" w:eastAsiaTheme="minorEastAsia"/>
                <w:b/>
                <w:sz w:val="21"/>
                <w:szCs w:val="21"/>
              </w:rPr>
            </w:pPr>
            <w:r>
              <w:rPr>
                <w:rFonts w:cs="Times New Roman" w:asciiTheme="minorEastAsia" w:hAnsiTheme="minorEastAsia" w:eastAsiaTheme="minorEastAsia"/>
                <w:b/>
                <w:sz w:val="21"/>
                <w:szCs w:val="21"/>
              </w:rPr>
              <w:t>姓名</w:t>
            </w:r>
          </w:p>
        </w:tc>
        <w:tc>
          <w:tcPr>
            <w:tcW w:w="1537" w:type="dxa"/>
            <w:shd w:val="clear" w:color="auto" w:fill="D8D8D8" w:themeFill="background1" w:themeFillShade="D9"/>
            <w:vAlign w:val="center"/>
          </w:tcPr>
          <w:p w14:paraId="7ECDD9DB">
            <w:pPr>
              <w:pStyle w:val="20"/>
              <w:jc w:val="center"/>
              <w:rPr>
                <w:rFonts w:cs="Times New Roman" w:asciiTheme="minorEastAsia" w:hAnsiTheme="minorEastAsia" w:eastAsiaTheme="minorEastAsia"/>
                <w:b/>
                <w:sz w:val="21"/>
                <w:szCs w:val="21"/>
              </w:rPr>
            </w:pPr>
            <w:r>
              <w:rPr>
                <w:rFonts w:cs="Times New Roman" w:asciiTheme="minorEastAsia" w:hAnsiTheme="minorEastAsia" w:eastAsiaTheme="minorEastAsia"/>
                <w:b/>
                <w:sz w:val="21"/>
                <w:szCs w:val="21"/>
              </w:rPr>
              <w:t>单 位</w:t>
            </w:r>
          </w:p>
        </w:tc>
        <w:tc>
          <w:tcPr>
            <w:tcW w:w="1214" w:type="dxa"/>
            <w:shd w:val="clear" w:color="auto" w:fill="D8D8D8" w:themeFill="background1" w:themeFillShade="D9"/>
            <w:vAlign w:val="center"/>
          </w:tcPr>
          <w:p w14:paraId="10A36C3E">
            <w:pPr>
              <w:pStyle w:val="20"/>
              <w:jc w:val="center"/>
              <w:rPr>
                <w:rFonts w:cs="Times New Roman" w:asciiTheme="minorEastAsia" w:hAnsiTheme="minorEastAsia" w:eastAsiaTheme="minorEastAsia"/>
                <w:b/>
                <w:sz w:val="21"/>
                <w:szCs w:val="21"/>
              </w:rPr>
            </w:pPr>
            <w:r>
              <w:rPr>
                <w:rFonts w:cs="Times New Roman" w:asciiTheme="minorEastAsia" w:hAnsiTheme="minorEastAsia" w:eastAsiaTheme="minorEastAsia"/>
                <w:b/>
                <w:sz w:val="21"/>
                <w:szCs w:val="21"/>
              </w:rPr>
              <w:t>职务</w:t>
            </w:r>
            <w:r>
              <w:rPr>
                <w:rFonts w:hint="eastAsia" w:cs="Times New Roman" w:asciiTheme="minorEastAsia" w:hAnsiTheme="minorEastAsia" w:eastAsiaTheme="minorEastAsia"/>
                <w:b/>
                <w:sz w:val="21"/>
                <w:szCs w:val="21"/>
                <w:lang w:eastAsia="zh-CN"/>
              </w:rPr>
              <w:t>/</w:t>
            </w:r>
            <w:r>
              <w:rPr>
                <w:rFonts w:cs="Times New Roman" w:asciiTheme="minorEastAsia" w:hAnsiTheme="minorEastAsia" w:eastAsiaTheme="minorEastAsia"/>
                <w:b/>
                <w:sz w:val="21"/>
                <w:szCs w:val="21"/>
              </w:rPr>
              <w:t>职</w:t>
            </w:r>
            <w:r>
              <w:rPr>
                <w:rFonts w:cs="Times New Roman" w:asciiTheme="minorEastAsia" w:hAnsiTheme="minorEastAsia" w:eastAsiaTheme="minorEastAsia"/>
                <w:b/>
                <w:w w:val="101"/>
                <w:sz w:val="21"/>
                <w:szCs w:val="21"/>
              </w:rPr>
              <w:t>称</w:t>
            </w:r>
          </w:p>
        </w:tc>
        <w:tc>
          <w:tcPr>
            <w:tcW w:w="709" w:type="dxa"/>
            <w:shd w:val="clear" w:color="auto" w:fill="D8D8D8" w:themeFill="background1" w:themeFillShade="D9"/>
            <w:vAlign w:val="center"/>
          </w:tcPr>
          <w:p w14:paraId="6845E51E">
            <w:pPr>
              <w:pStyle w:val="20"/>
              <w:jc w:val="center"/>
              <w:rPr>
                <w:rFonts w:cs="Times New Roman" w:asciiTheme="minorEastAsia" w:hAnsiTheme="minorEastAsia" w:eastAsiaTheme="minorEastAsia"/>
                <w:b/>
                <w:sz w:val="21"/>
                <w:szCs w:val="21"/>
              </w:rPr>
            </w:pPr>
            <w:r>
              <w:rPr>
                <w:rFonts w:cs="Times New Roman" w:asciiTheme="minorEastAsia" w:hAnsiTheme="minorEastAsia" w:eastAsiaTheme="minorEastAsia"/>
                <w:b/>
                <w:sz w:val="21"/>
                <w:szCs w:val="21"/>
              </w:rPr>
              <w:t>项目职</w:t>
            </w:r>
            <w:r>
              <w:rPr>
                <w:rFonts w:cs="Times New Roman" w:asciiTheme="minorEastAsia" w:hAnsiTheme="minorEastAsia" w:eastAsiaTheme="minorEastAsia"/>
                <w:b/>
                <w:w w:val="101"/>
                <w:sz w:val="21"/>
                <w:szCs w:val="21"/>
              </w:rPr>
              <w:t>务</w:t>
            </w:r>
          </w:p>
        </w:tc>
        <w:tc>
          <w:tcPr>
            <w:tcW w:w="3827" w:type="dxa"/>
            <w:shd w:val="clear" w:color="auto" w:fill="D8D8D8" w:themeFill="background1" w:themeFillShade="D9"/>
            <w:vAlign w:val="center"/>
          </w:tcPr>
          <w:p w14:paraId="7FDF447B">
            <w:pPr>
              <w:pStyle w:val="20"/>
              <w:tabs>
                <w:tab w:val="left" w:pos="557"/>
              </w:tabs>
              <w:jc w:val="center"/>
              <w:rPr>
                <w:rFonts w:cs="Times New Roman" w:asciiTheme="minorEastAsia" w:hAnsiTheme="minorEastAsia" w:eastAsiaTheme="minorEastAsia"/>
                <w:b/>
                <w:sz w:val="21"/>
                <w:szCs w:val="21"/>
              </w:rPr>
            </w:pPr>
            <w:r>
              <w:rPr>
                <w:rFonts w:cs="Times New Roman" w:asciiTheme="minorEastAsia" w:hAnsiTheme="minorEastAsia" w:eastAsiaTheme="minorEastAsia"/>
                <w:b/>
                <w:sz w:val="21"/>
                <w:szCs w:val="21"/>
              </w:rPr>
              <w:t>分</w:t>
            </w:r>
            <w:r>
              <w:rPr>
                <w:rFonts w:cs="Times New Roman" w:asciiTheme="minorEastAsia" w:hAnsiTheme="minorEastAsia" w:eastAsiaTheme="minorEastAsia"/>
                <w:b/>
                <w:sz w:val="21"/>
                <w:szCs w:val="21"/>
              </w:rPr>
              <w:tab/>
            </w:r>
            <w:r>
              <w:rPr>
                <w:rFonts w:cs="Times New Roman" w:asciiTheme="minorEastAsia" w:hAnsiTheme="minorEastAsia" w:eastAsiaTheme="minorEastAsia"/>
                <w:b/>
                <w:sz w:val="21"/>
                <w:szCs w:val="21"/>
              </w:rPr>
              <w:t>工</w:t>
            </w:r>
          </w:p>
        </w:tc>
      </w:tr>
      <w:tr w14:paraId="6C987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48D5DE89">
            <w:pPr>
              <w:pStyle w:val="20"/>
              <w:jc w:val="center"/>
              <w:rPr>
                <w:rFonts w:cs="Times New Roman" w:asciiTheme="minorEastAsia" w:hAnsiTheme="minorEastAsia" w:eastAsiaTheme="minorEastAsia"/>
                <w:sz w:val="21"/>
                <w:szCs w:val="21"/>
              </w:rPr>
            </w:pPr>
            <w:r>
              <w:rPr>
                <w:rFonts w:hint="eastAsia" w:cs="Times New Roman" w:asciiTheme="minorEastAsia" w:hAnsiTheme="minorEastAsia" w:eastAsiaTheme="minorEastAsia"/>
                <w:sz w:val="21"/>
                <w:szCs w:val="21"/>
                <w:lang w:eastAsia="zh-CN"/>
              </w:rPr>
              <w:t>张春意</w:t>
            </w:r>
          </w:p>
        </w:tc>
        <w:tc>
          <w:tcPr>
            <w:tcW w:w="1537" w:type="dxa"/>
            <w:shd w:val="clear" w:color="auto" w:fill="FFFFFF" w:themeFill="background1"/>
            <w:vAlign w:val="center"/>
          </w:tcPr>
          <w:p w14:paraId="001D2D58">
            <w:pPr>
              <w:pStyle w:val="20"/>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pacing w:val="-3"/>
                <w:sz w:val="21"/>
                <w:szCs w:val="21"/>
                <w:lang w:eastAsia="zh-CN"/>
              </w:rPr>
              <w:t>天科院环境科技发展（天津）有限公司</w:t>
            </w:r>
          </w:p>
        </w:tc>
        <w:tc>
          <w:tcPr>
            <w:tcW w:w="1214" w:type="dxa"/>
            <w:shd w:val="clear" w:color="auto" w:fill="FFFFFF" w:themeFill="background1"/>
            <w:vAlign w:val="center"/>
          </w:tcPr>
          <w:p w14:paraId="5198F01C">
            <w:pPr>
              <w:pStyle w:val="20"/>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lang w:eastAsia="zh-CN"/>
              </w:rPr>
              <w:t>高级工程师/部门主任</w:t>
            </w:r>
          </w:p>
        </w:tc>
        <w:tc>
          <w:tcPr>
            <w:tcW w:w="709" w:type="dxa"/>
            <w:shd w:val="clear" w:color="auto" w:fill="FFFFFF" w:themeFill="background1"/>
            <w:vAlign w:val="center"/>
          </w:tcPr>
          <w:p w14:paraId="0BC3C5FD">
            <w:pPr>
              <w:pStyle w:val="20"/>
              <w:jc w:val="center"/>
              <w:rPr>
                <w:rFonts w:cs="Times New Roman" w:asciiTheme="minorEastAsia" w:hAnsiTheme="minorEastAsia" w:eastAsiaTheme="minorEastAsia"/>
                <w:sz w:val="21"/>
                <w:szCs w:val="21"/>
              </w:rPr>
            </w:pPr>
            <w:r>
              <w:rPr>
                <w:rFonts w:cs="Times New Roman" w:asciiTheme="minorEastAsia" w:hAnsiTheme="minorEastAsia" w:eastAsiaTheme="minorEastAsia"/>
                <w:sz w:val="21"/>
                <w:szCs w:val="21"/>
              </w:rPr>
              <w:t>组长</w:t>
            </w:r>
          </w:p>
        </w:tc>
        <w:tc>
          <w:tcPr>
            <w:tcW w:w="3827" w:type="dxa"/>
            <w:shd w:val="clear" w:color="auto" w:fill="FFFFFF" w:themeFill="background1"/>
            <w:vAlign w:val="center"/>
          </w:tcPr>
          <w:p w14:paraId="3F96CAA5">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标准</w:t>
            </w:r>
            <w:r>
              <w:rPr>
                <w:rFonts w:cs="Times New Roman" w:asciiTheme="minorEastAsia" w:hAnsiTheme="minorEastAsia" w:eastAsiaTheme="minorEastAsia"/>
                <w:sz w:val="21"/>
                <w:szCs w:val="21"/>
                <w:lang w:eastAsia="zh-CN"/>
              </w:rPr>
              <w:t>起草总负责人，</w:t>
            </w:r>
            <w:r>
              <w:rPr>
                <w:rFonts w:cs="Times New Roman" w:asciiTheme="minorEastAsia" w:hAnsiTheme="minorEastAsia" w:eastAsiaTheme="minorEastAsia"/>
                <w:spacing w:val="-3"/>
                <w:sz w:val="21"/>
                <w:szCs w:val="21"/>
                <w:lang w:eastAsia="zh-CN"/>
              </w:rPr>
              <w:t>组织讨论确定</w:t>
            </w:r>
            <w:r>
              <w:rPr>
                <w:rFonts w:hint="eastAsia" w:cs="Times New Roman" w:asciiTheme="minorEastAsia" w:hAnsiTheme="minorEastAsia" w:eastAsiaTheme="minorEastAsia"/>
                <w:spacing w:val="-3"/>
                <w:sz w:val="21"/>
                <w:szCs w:val="21"/>
                <w:lang w:eastAsia="zh-CN"/>
              </w:rPr>
              <w:t>编制</w:t>
            </w:r>
            <w:r>
              <w:rPr>
                <w:rFonts w:cs="Times New Roman" w:asciiTheme="minorEastAsia" w:hAnsiTheme="minorEastAsia" w:eastAsiaTheme="minorEastAsia"/>
                <w:spacing w:val="-3"/>
                <w:sz w:val="21"/>
                <w:szCs w:val="21"/>
                <w:lang w:eastAsia="zh-CN"/>
              </w:rPr>
              <w:t>框架、编写思路，</w:t>
            </w:r>
            <w:r>
              <w:rPr>
                <w:rFonts w:cs="Times New Roman" w:asciiTheme="minorEastAsia" w:hAnsiTheme="minorEastAsia" w:eastAsiaTheme="minorEastAsia"/>
                <w:sz w:val="21"/>
                <w:szCs w:val="21"/>
                <w:lang w:eastAsia="zh-CN"/>
              </w:rPr>
              <w:t>审核相关技术，主导完成</w:t>
            </w:r>
            <w:r>
              <w:rPr>
                <w:rFonts w:hint="eastAsia" w:cs="Times New Roman" w:asciiTheme="minorEastAsia" w:hAnsiTheme="minorEastAsia" w:eastAsiaTheme="minorEastAsia"/>
                <w:sz w:val="21"/>
                <w:szCs w:val="21"/>
                <w:lang w:eastAsia="zh-CN"/>
              </w:rPr>
              <w:t>标准</w:t>
            </w:r>
            <w:r>
              <w:rPr>
                <w:rFonts w:cs="Times New Roman" w:asciiTheme="minorEastAsia" w:hAnsiTheme="minorEastAsia" w:eastAsiaTheme="minorEastAsia"/>
                <w:sz w:val="21"/>
                <w:szCs w:val="21"/>
                <w:lang w:eastAsia="zh-CN"/>
              </w:rPr>
              <w:t>编制</w:t>
            </w:r>
          </w:p>
        </w:tc>
      </w:tr>
      <w:tr w14:paraId="735EA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33CBDBA2">
            <w:pPr>
              <w:pStyle w:val="20"/>
              <w:jc w:val="center"/>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马贺</w:t>
            </w:r>
          </w:p>
        </w:tc>
        <w:tc>
          <w:tcPr>
            <w:tcW w:w="1537" w:type="dxa"/>
            <w:shd w:val="clear" w:color="auto" w:fill="FFFFFF" w:themeFill="background1"/>
            <w:vAlign w:val="center"/>
          </w:tcPr>
          <w:p w14:paraId="3DE9F98B">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lang w:eastAsia="zh-CN"/>
              </w:rPr>
              <w:t>秦皇岛港股份有限公司</w:t>
            </w:r>
          </w:p>
        </w:tc>
        <w:tc>
          <w:tcPr>
            <w:tcW w:w="1214" w:type="dxa"/>
            <w:shd w:val="clear" w:color="auto" w:fill="FFFFFF" w:themeFill="background1"/>
            <w:vAlign w:val="center"/>
          </w:tcPr>
          <w:p w14:paraId="1A474D90">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rPr>
              <w:t>高级工程师</w:t>
            </w:r>
            <w:r>
              <w:rPr>
                <w:rFonts w:hint="eastAsia" w:ascii="Times New Roman" w:hAnsi="Times New Roman"/>
                <w:sz w:val="21"/>
                <w:szCs w:val="21"/>
                <w:lang w:eastAsia="zh-CN"/>
              </w:rPr>
              <w:t>/</w:t>
            </w:r>
          </w:p>
        </w:tc>
        <w:tc>
          <w:tcPr>
            <w:tcW w:w="709" w:type="dxa"/>
            <w:shd w:val="clear" w:color="auto" w:fill="FFFFFF" w:themeFill="background1"/>
            <w:vAlign w:val="center"/>
          </w:tcPr>
          <w:p w14:paraId="208119C2">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rPr>
              <w:t>组员</w:t>
            </w:r>
          </w:p>
        </w:tc>
        <w:tc>
          <w:tcPr>
            <w:tcW w:w="3827" w:type="dxa"/>
            <w:shd w:val="clear" w:color="auto" w:fill="FFFFFF" w:themeFill="background1"/>
            <w:vAlign w:val="center"/>
          </w:tcPr>
          <w:p w14:paraId="5F4B8847">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r w14:paraId="5FB3F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2C7BBD82">
            <w:pPr>
              <w:pStyle w:val="20"/>
              <w:jc w:val="center"/>
              <w:rPr>
                <w:rFonts w:cs="Times New Roman" w:asciiTheme="minorEastAsia" w:hAnsiTheme="minorEastAsia" w:eastAsiaTheme="minorEastAsia"/>
                <w:sz w:val="21"/>
                <w:szCs w:val="21"/>
                <w:lang w:eastAsia="zh-CN"/>
              </w:rPr>
            </w:pPr>
            <w:r>
              <w:rPr>
                <w:rFonts w:hint="eastAsia" w:ascii="Times New Roman" w:hAnsi="Times New Roman"/>
                <w:sz w:val="21"/>
                <w:szCs w:val="21"/>
              </w:rPr>
              <w:t xml:space="preserve">孙 </w:t>
            </w:r>
            <w:r>
              <w:rPr>
                <w:rFonts w:ascii="Times New Roman" w:hAnsi="Times New Roman"/>
                <w:sz w:val="21"/>
                <w:szCs w:val="21"/>
              </w:rPr>
              <w:t xml:space="preserve"> </w:t>
            </w:r>
            <w:r>
              <w:rPr>
                <w:rFonts w:hint="eastAsia" w:ascii="Times New Roman" w:hAnsi="Times New Roman"/>
                <w:sz w:val="21"/>
                <w:szCs w:val="21"/>
              </w:rPr>
              <w:t>虎</w:t>
            </w:r>
          </w:p>
        </w:tc>
        <w:tc>
          <w:tcPr>
            <w:tcW w:w="1537" w:type="dxa"/>
            <w:shd w:val="clear" w:color="auto" w:fill="FFFFFF" w:themeFill="background1"/>
            <w:vAlign w:val="center"/>
          </w:tcPr>
          <w:p w14:paraId="0E004CED">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lang w:eastAsia="zh-CN"/>
              </w:rPr>
              <w:t>辽宁港口集团有限公司</w:t>
            </w:r>
          </w:p>
        </w:tc>
        <w:tc>
          <w:tcPr>
            <w:tcW w:w="1214" w:type="dxa"/>
            <w:shd w:val="clear" w:color="auto" w:fill="FFFFFF" w:themeFill="background1"/>
            <w:vAlign w:val="center"/>
          </w:tcPr>
          <w:p w14:paraId="62985A3A">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rPr>
              <w:t>高级工程师</w:t>
            </w:r>
            <w:r>
              <w:rPr>
                <w:rFonts w:hint="eastAsia" w:ascii="Times New Roman" w:hAnsi="Times New Roman"/>
                <w:sz w:val="21"/>
                <w:szCs w:val="21"/>
                <w:lang w:eastAsia="zh-CN"/>
              </w:rPr>
              <w:t>/</w:t>
            </w:r>
          </w:p>
        </w:tc>
        <w:tc>
          <w:tcPr>
            <w:tcW w:w="709" w:type="dxa"/>
            <w:shd w:val="clear" w:color="auto" w:fill="FFFFFF" w:themeFill="background1"/>
            <w:vAlign w:val="center"/>
          </w:tcPr>
          <w:p w14:paraId="26ACC4BB">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rPr>
              <w:t>组员</w:t>
            </w:r>
          </w:p>
        </w:tc>
        <w:tc>
          <w:tcPr>
            <w:tcW w:w="3827" w:type="dxa"/>
            <w:shd w:val="clear" w:color="auto" w:fill="FFFFFF" w:themeFill="background1"/>
            <w:vAlign w:val="center"/>
          </w:tcPr>
          <w:p w14:paraId="00FD5B6C">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r w14:paraId="0BCC1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4C160266">
            <w:pPr>
              <w:pStyle w:val="20"/>
              <w:jc w:val="center"/>
              <w:rPr>
                <w:rFonts w:cs="Times New Roman" w:asciiTheme="minorEastAsia" w:hAnsiTheme="minorEastAsia" w:eastAsiaTheme="minorEastAsia"/>
                <w:sz w:val="21"/>
                <w:szCs w:val="21"/>
                <w:lang w:eastAsia="zh-CN"/>
              </w:rPr>
            </w:pPr>
            <w:r>
              <w:rPr>
                <w:rFonts w:hint="eastAsia" w:ascii="Times New Roman" w:hAnsi="Times New Roman"/>
                <w:sz w:val="21"/>
                <w:szCs w:val="21"/>
              </w:rPr>
              <w:t>黄文栋</w:t>
            </w:r>
          </w:p>
        </w:tc>
        <w:tc>
          <w:tcPr>
            <w:tcW w:w="1537" w:type="dxa"/>
            <w:shd w:val="clear" w:color="auto" w:fill="FFFFFF" w:themeFill="background1"/>
            <w:vAlign w:val="center"/>
          </w:tcPr>
          <w:p w14:paraId="7C9ACA13">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rPr>
              <w:t>天津港股份有限公司</w:t>
            </w:r>
          </w:p>
        </w:tc>
        <w:tc>
          <w:tcPr>
            <w:tcW w:w="1214" w:type="dxa"/>
            <w:shd w:val="clear" w:color="auto" w:fill="FFFFFF" w:themeFill="background1"/>
            <w:vAlign w:val="center"/>
          </w:tcPr>
          <w:p w14:paraId="643D4BEB">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lang w:eastAsia="zh-CN"/>
              </w:rPr>
              <w:t>高级工程师</w:t>
            </w:r>
            <w:r>
              <w:rPr>
                <w:rFonts w:ascii="Times New Roman" w:hAnsi="Times New Roman"/>
                <w:sz w:val="21"/>
                <w:szCs w:val="21"/>
                <w:lang w:eastAsia="zh-CN"/>
              </w:rPr>
              <w:t>/安环部部长</w:t>
            </w:r>
          </w:p>
        </w:tc>
        <w:tc>
          <w:tcPr>
            <w:tcW w:w="709" w:type="dxa"/>
            <w:shd w:val="clear" w:color="auto" w:fill="FFFFFF" w:themeFill="background1"/>
            <w:vAlign w:val="center"/>
          </w:tcPr>
          <w:p w14:paraId="3666DAF9">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lang w:eastAsia="zh-CN"/>
              </w:rPr>
              <w:t>组员</w:t>
            </w:r>
          </w:p>
        </w:tc>
        <w:tc>
          <w:tcPr>
            <w:tcW w:w="3827" w:type="dxa"/>
            <w:shd w:val="clear" w:color="auto" w:fill="FFFFFF" w:themeFill="background1"/>
            <w:vAlign w:val="center"/>
          </w:tcPr>
          <w:p w14:paraId="403EB01B">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r w14:paraId="5C73B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0A442EF3">
            <w:pPr>
              <w:pStyle w:val="20"/>
              <w:jc w:val="center"/>
              <w:rPr>
                <w:rFonts w:ascii="Times New Roman" w:hAnsi="Times New Roman"/>
                <w:sz w:val="21"/>
                <w:szCs w:val="21"/>
                <w:lang w:eastAsia="zh-CN"/>
              </w:rPr>
            </w:pPr>
            <w:r>
              <w:rPr>
                <w:rFonts w:cs="Times New Roman" w:asciiTheme="minorEastAsia" w:hAnsiTheme="minorEastAsia" w:eastAsiaTheme="minorEastAsia"/>
                <w:sz w:val="21"/>
                <w:szCs w:val="21"/>
                <w:lang w:eastAsia="zh-CN"/>
              </w:rPr>
              <w:t>赵鲁华</w:t>
            </w:r>
          </w:p>
        </w:tc>
        <w:tc>
          <w:tcPr>
            <w:tcW w:w="1537" w:type="dxa"/>
            <w:shd w:val="clear" w:color="auto" w:fill="FFFFFF" w:themeFill="background1"/>
            <w:vAlign w:val="center"/>
          </w:tcPr>
          <w:p w14:paraId="5E0F2857">
            <w:pPr>
              <w:pStyle w:val="20"/>
              <w:rPr>
                <w:rFonts w:ascii="Times New Roman" w:hAnsi="Times New Roman"/>
                <w:sz w:val="21"/>
                <w:szCs w:val="21"/>
                <w:lang w:eastAsia="zh-CN"/>
              </w:rPr>
            </w:pPr>
            <w:r>
              <w:rPr>
                <w:rFonts w:cs="Times New Roman" w:asciiTheme="minorEastAsia" w:hAnsiTheme="minorEastAsia" w:eastAsiaTheme="minorEastAsia"/>
                <w:sz w:val="21"/>
                <w:szCs w:val="21"/>
                <w:lang w:eastAsia="zh-CN"/>
              </w:rPr>
              <w:t>山东省港口集团有限公司</w:t>
            </w:r>
          </w:p>
        </w:tc>
        <w:tc>
          <w:tcPr>
            <w:tcW w:w="1214" w:type="dxa"/>
            <w:shd w:val="clear" w:color="auto" w:fill="FFFFFF" w:themeFill="background1"/>
            <w:vAlign w:val="center"/>
          </w:tcPr>
          <w:p w14:paraId="1CC27610">
            <w:pPr>
              <w:pStyle w:val="20"/>
              <w:rPr>
                <w:rFonts w:ascii="Times New Roman" w:hAnsi="Times New Roman"/>
                <w:sz w:val="21"/>
                <w:szCs w:val="21"/>
                <w:lang w:eastAsia="zh-CN"/>
              </w:rPr>
            </w:pPr>
            <w:r>
              <w:rPr>
                <w:rFonts w:cs="Times New Roman" w:asciiTheme="minorEastAsia" w:hAnsiTheme="minorEastAsia" w:eastAsiaTheme="minorEastAsia"/>
                <w:sz w:val="21"/>
                <w:szCs w:val="21"/>
                <w:lang w:eastAsia="zh-CN"/>
              </w:rPr>
              <w:t>高级工程师/</w:t>
            </w:r>
            <w:r>
              <w:rPr>
                <w:rFonts w:hint="eastAsia" w:cs="Times New Roman" w:asciiTheme="minorEastAsia" w:hAnsiTheme="minorEastAsia" w:eastAsiaTheme="minorEastAsia"/>
                <w:sz w:val="21"/>
                <w:szCs w:val="21"/>
                <w:lang w:eastAsia="zh-CN"/>
              </w:rPr>
              <w:t>高级主管</w:t>
            </w:r>
          </w:p>
        </w:tc>
        <w:tc>
          <w:tcPr>
            <w:tcW w:w="709" w:type="dxa"/>
            <w:shd w:val="clear" w:color="auto" w:fill="FFFFFF" w:themeFill="background1"/>
            <w:vAlign w:val="center"/>
          </w:tcPr>
          <w:p w14:paraId="236D46D1">
            <w:pPr>
              <w:pStyle w:val="20"/>
              <w:jc w:val="center"/>
              <w:rPr>
                <w:rFonts w:cs="Times New Roman" w:asciiTheme="minorEastAsia" w:hAnsiTheme="minorEastAsia" w:eastAsiaTheme="minorEastAsia"/>
                <w:sz w:val="21"/>
                <w:szCs w:val="21"/>
              </w:rPr>
            </w:pPr>
            <w:r>
              <w:rPr>
                <w:rFonts w:cs="Times New Roman" w:asciiTheme="minorEastAsia" w:hAnsiTheme="minorEastAsia" w:eastAsiaTheme="minorEastAsia"/>
                <w:sz w:val="21"/>
                <w:szCs w:val="21"/>
              </w:rPr>
              <w:t>组员</w:t>
            </w:r>
          </w:p>
        </w:tc>
        <w:tc>
          <w:tcPr>
            <w:tcW w:w="3827" w:type="dxa"/>
            <w:shd w:val="clear" w:color="auto" w:fill="FFFFFF" w:themeFill="background1"/>
            <w:vAlign w:val="center"/>
          </w:tcPr>
          <w:p w14:paraId="1092646D">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r w14:paraId="16C84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5AACDDD5">
            <w:pPr>
              <w:pStyle w:val="20"/>
              <w:jc w:val="center"/>
              <w:rPr>
                <w:rFonts w:cs="Times New Roman" w:asciiTheme="minorEastAsia" w:hAnsiTheme="minorEastAsia" w:eastAsiaTheme="minorEastAsia"/>
                <w:sz w:val="21"/>
                <w:szCs w:val="21"/>
              </w:rPr>
            </w:pPr>
            <w:r>
              <w:rPr>
                <w:rFonts w:cs="Times New Roman" w:asciiTheme="minorEastAsia" w:hAnsiTheme="minorEastAsia" w:eastAsiaTheme="minorEastAsia"/>
                <w:sz w:val="21"/>
                <w:szCs w:val="21"/>
                <w:lang w:eastAsia="zh-CN"/>
              </w:rPr>
              <w:t>薛永华</w:t>
            </w:r>
          </w:p>
        </w:tc>
        <w:tc>
          <w:tcPr>
            <w:tcW w:w="1537" w:type="dxa"/>
            <w:shd w:val="clear" w:color="auto" w:fill="FFFFFF" w:themeFill="background1"/>
            <w:vAlign w:val="center"/>
          </w:tcPr>
          <w:p w14:paraId="5040EA04">
            <w:pPr>
              <w:pStyle w:val="20"/>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pacing w:val="-3"/>
                <w:sz w:val="21"/>
                <w:szCs w:val="21"/>
                <w:lang w:eastAsia="zh-CN"/>
              </w:rPr>
              <w:t>天科院环境科技发展（天津）有限公司</w:t>
            </w:r>
          </w:p>
        </w:tc>
        <w:tc>
          <w:tcPr>
            <w:tcW w:w="1214" w:type="dxa"/>
            <w:shd w:val="clear" w:color="auto" w:fill="FFFFFF" w:themeFill="background1"/>
            <w:vAlign w:val="center"/>
          </w:tcPr>
          <w:p w14:paraId="011FC264">
            <w:pPr>
              <w:pStyle w:val="20"/>
              <w:rPr>
                <w:rFonts w:cs="Times New Roman" w:asciiTheme="minorEastAsia" w:hAnsiTheme="minorEastAsia" w:eastAsiaTheme="minorEastAsia"/>
                <w:sz w:val="21"/>
                <w:szCs w:val="21"/>
              </w:rPr>
            </w:pPr>
            <w:r>
              <w:rPr>
                <w:rFonts w:cs="Times New Roman" w:asciiTheme="minorEastAsia" w:hAnsiTheme="minorEastAsia" w:eastAsiaTheme="minorEastAsia"/>
                <w:sz w:val="21"/>
                <w:szCs w:val="21"/>
              </w:rPr>
              <w:t>副研究员/部门副主任</w:t>
            </w:r>
          </w:p>
        </w:tc>
        <w:tc>
          <w:tcPr>
            <w:tcW w:w="709" w:type="dxa"/>
            <w:shd w:val="clear" w:color="auto" w:fill="FFFFFF" w:themeFill="background1"/>
            <w:vAlign w:val="center"/>
          </w:tcPr>
          <w:p w14:paraId="7D64599E">
            <w:pPr>
              <w:pStyle w:val="20"/>
              <w:jc w:val="center"/>
              <w:rPr>
                <w:rFonts w:cs="Times New Roman" w:asciiTheme="minorEastAsia" w:hAnsiTheme="minorEastAsia" w:eastAsiaTheme="minorEastAsia"/>
                <w:sz w:val="21"/>
                <w:szCs w:val="21"/>
              </w:rPr>
            </w:pPr>
            <w:r>
              <w:rPr>
                <w:rFonts w:cs="Times New Roman" w:asciiTheme="minorEastAsia" w:hAnsiTheme="minorEastAsia" w:eastAsiaTheme="minorEastAsia"/>
                <w:sz w:val="21"/>
                <w:szCs w:val="21"/>
              </w:rPr>
              <w:t>组员</w:t>
            </w:r>
          </w:p>
        </w:tc>
        <w:tc>
          <w:tcPr>
            <w:tcW w:w="3827" w:type="dxa"/>
            <w:shd w:val="clear" w:color="auto" w:fill="FFFFFF" w:themeFill="background1"/>
            <w:vAlign w:val="center"/>
          </w:tcPr>
          <w:p w14:paraId="3E148528">
            <w:pPr>
              <w:pStyle w:val="20"/>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pacing w:val="-3"/>
                <w:sz w:val="21"/>
                <w:szCs w:val="21"/>
                <w:lang w:eastAsia="zh-CN"/>
              </w:rPr>
              <w:t>组织起草组人员讨论确定技术要素，</w:t>
            </w:r>
            <w:r>
              <w:rPr>
                <w:rFonts w:cs="Times New Roman" w:asciiTheme="minorEastAsia" w:hAnsiTheme="minorEastAsia" w:eastAsiaTheme="minorEastAsia"/>
                <w:sz w:val="21"/>
                <w:szCs w:val="21"/>
                <w:lang w:eastAsia="zh-CN"/>
              </w:rPr>
              <w:t>组织</w:t>
            </w:r>
            <w:r>
              <w:rPr>
                <w:rFonts w:hint="eastAsia" w:cs="Times New Roman" w:asciiTheme="minorEastAsia" w:hAnsiTheme="minorEastAsia" w:eastAsiaTheme="minorEastAsia"/>
                <w:sz w:val="21"/>
                <w:szCs w:val="21"/>
                <w:lang w:eastAsia="zh-CN"/>
              </w:rPr>
              <w:t>建立以智能喷淋决策控制子系统为核心的智能喷淋系统功能架设及开发设计智能喷淋系统</w:t>
            </w:r>
            <w:r>
              <w:rPr>
                <w:rFonts w:cs="Times New Roman" w:asciiTheme="minorEastAsia" w:hAnsiTheme="minorEastAsia" w:eastAsiaTheme="minorEastAsia"/>
                <w:sz w:val="21"/>
                <w:szCs w:val="21"/>
                <w:lang w:eastAsia="zh-CN"/>
              </w:rPr>
              <w:t>，</w:t>
            </w:r>
            <w:r>
              <w:rPr>
                <w:rFonts w:cs="Times New Roman" w:asciiTheme="minorEastAsia" w:hAnsiTheme="minorEastAsia" w:eastAsiaTheme="minorEastAsia"/>
                <w:spacing w:val="-3"/>
                <w:sz w:val="21"/>
                <w:szCs w:val="21"/>
                <w:lang w:eastAsia="zh-CN"/>
              </w:rPr>
              <w:t>组织</w:t>
            </w:r>
            <w:r>
              <w:rPr>
                <w:rFonts w:hint="eastAsia" w:cs="Times New Roman" w:asciiTheme="minorEastAsia" w:hAnsiTheme="minorEastAsia" w:eastAsiaTheme="minorEastAsia"/>
                <w:spacing w:val="-3"/>
                <w:sz w:val="21"/>
                <w:szCs w:val="21"/>
                <w:lang w:eastAsia="zh-CN"/>
              </w:rPr>
              <w:t>标准</w:t>
            </w:r>
            <w:r>
              <w:rPr>
                <w:rFonts w:cs="Times New Roman" w:asciiTheme="minorEastAsia" w:hAnsiTheme="minorEastAsia" w:eastAsiaTheme="minorEastAsia"/>
                <w:spacing w:val="-3"/>
                <w:sz w:val="21"/>
                <w:szCs w:val="21"/>
                <w:lang w:eastAsia="zh-CN"/>
              </w:rPr>
              <w:t>审查、修改、报批</w:t>
            </w:r>
          </w:p>
        </w:tc>
      </w:tr>
      <w:tr w14:paraId="70CDB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2EE4AA53">
            <w:pPr>
              <w:pStyle w:val="20"/>
              <w:jc w:val="center"/>
              <w:rPr>
                <w:rFonts w:cs="Times New Roman" w:asciiTheme="minorEastAsia" w:hAnsiTheme="minorEastAsia" w:eastAsiaTheme="minorEastAsia"/>
                <w:sz w:val="21"/>
                <w:szCs w:val="21"/>
                <w:lang w:eastAsia="zh-CN"/>
              </w:rPr>
            </w:pPr>
            <w:r>
              <w:rPr>
                <w:rFonts w:hint="eastAsia" w:ascii="Times New Roman" w:hAnsi="Times New Roman"/>
                <w:sz w:val="21"/>
                <w:szCs w:val="21"/>
              </w:rPr>
              <w:t>朱波永</w:t>
            </w:r>
          </w:p>
        </w:tc>
        <w:tc>
          <w:tcPr>
            <w:tcW w:w="1537" w:type="dxa"/>
            <w:shd w:val="clear" w:color="auto" w:fill="FFFFFF" w:themeFill="background1"/>
            <w:vAlign w:val="center"/>
          </w:tcPr>
          <w:p w14:paraId="54E7BC1B">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lang w:eastAsia="zh-CN"/>
              </w:rPr>
              <w:t>秦皇岛港股份有限公司</w:t>
            </w:r>
          </w:p>
        </w:tc>
        <w:tc>
          <w:tcPr>
            <w:tcW w:w="1214" w:type="dxa"/>
            <w:shd w:val="clear" w:color="auto" w:fill="FFFFFF" w:themeFill="background1"/>
            <w:vAlign w:val="center"/>
          </w:tcPr>
          <w:p w14:paraId="38B8E524">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rPr>
              <w:t>高级工程师</w:t>
            </w:r>
            <w:r>
              <w:rPr>
                <w:rFonts w:hint="eastAsia" w:ascii="Times New Roman" w:hAnsi="Times New Roman"/>
                <w:sz w:val="21"/>
                <w:szCs w:val="21"/>
                <w:lang w:eastAsia="zh-CN"/>
              </w:rPr>
              <w:t>/</w:t>
            </w:r>
          </w:p>
        </w:tc>
        <w:tc>
          <w:tcPr>
            <w:tcW w:w="709" w:type="dxa"/>
            <w:shd w:val="clear" w:color="auto" w:fill="FFFFFF" w:themeFill="background1"/>
            <w:vAlign w:val="center"/>
          </w:tcPr>
          <w:p w14:paraId="40262C30">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rPr>
              <w:t>组员</w:t>
            </w:r>
          </w:p>
        </w:tc>
        <w:tc>
          <w:tcPr>
            <w:tcW w:w="3827" w:type="dxa"/>
            <w:shd w:val="clear" w:color="auto" w:fill="FFFFFF" w:themeFill="background1"/>
            <w:vAlign w:val="center"/>
          </w:tcPr>
          <w:p w14:paraId="0DDF7840">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r w14:paraId="3AF19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2F72977E">
            <w:pPr>
              <w:pStyle w:val="20"/>
              <w:jc w:val="center"/>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王钰</w:t>
            </w:r>
          </w:p>
        </w:tc>
        <w:tc>
          <w:tcPr>
            <w:tcW w:w="1537" w:type="dxa"/>
            <w:shd w:val="clear" w:color="auto" w:fill="FFFFFF" w:themeFill="background1"/>
            <w:vAlign w:val="center"/>
          </w:tcPr>
          <w:p w14:paraId="5303F408">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lang w:eastAsia="zh-CN"/>
              </w:rPr>
              <w:t>辽宁港口集团有限公司</w:t>
            </w:r>
          </w:p>
        </w:tc>
        <w:tc>
          <w:tcPr>
            <w:tcW w:w="1214" w:type="dxa"/>
            <w:shd w:val="clear" w:color="auto" w:fill="FFFFFF" w:themeFill="background1"/>
            <w:vAlign w:val="center"/>
          </w:tcPr>
          <w:p w14:paraId="44A8E75D">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rPr>
              <w:t>高级工程师</w:t>
            </w:r>
            <w:r>
              <w:rPr>
                <w:rFonts w:hint="eastAsia" w:ascii="Times New Roman" w:hAnsi="Times New Roman"/>
                <w:sz w:val="21"/>
                <w:szCs w:val="21"/>
                <w:lang w:eastAsia="zh-CN"/>
              </w:rPr>
              <w:t>/</w:t>
            </w:r>
          </w:p>
        </w:tc>
        <w:tc>
          <w:tcPr>
            <w:tcW w:w="709" w:type="dxa"/>
            <w:shd w:val="clear" w:color="auto" w:fill="FFFFFF" w:themeFill="background1"/>
            <w:vAlign w:val="center"/>
          </w:tcPr>
          <w:p w14:paraId="30F19B2D">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lang w:eastAsia="zh-CN"/>
              </w:rPr>
              <w:t>组员</w:t>
            </w:r>
          </w:p>
        </w:tc>
        <w:tc>
          <w:tcPr>
            <w:tcW w:w="3827" w:type="dxa"/>
            <w:shd w:val="clear" w:color="auto" w:fill="FFFFFF" w:themeFill="background1"/>
            <w:vAlign w:val="center"/>
          </w:tcPr>
          <w:p w14:paraId="09811FFB">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r w14:paraId="38737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6801D8BE">
            <w:pPr>
              <w:pStyle w:val="20"/>
              <w:jc w:val="center"/>
              <w:rPr>
                <w:rFonts w:ascii="Times New Roman" w:hAnsi="Times New Roman"/>
                <w:sz w:val="21"/>
                <w:szCs w:val="21"/>
                <w:lang w:eastAsia="zh-CN"/>
              </w:rPr>
            </w:pPr>
            <w:r>
              <w:rPr>
                <w:rFonts w:hint="eastAsia" w:ascii="Times New Roman" w:hAnsi="Times New Roman"/>
                <w:sz w:val="21"/>
                <w:szCs w:val="21"/>
                <w:lang w:eastAsia="zh-CN"/>
              </w:rPr>
              <w:t>杨忠</w:t>
            </w:r>
          </w:p>
        </w:tc>
        <w:tc>
          <w:tcPr>
            <w:tcW w:w="1537" w:type="dxa"/>
            <w:shd w:val="clear" w:color="auto" w:fill="FFFFFF" w:themeFill="background1"/>
            <w:vAlign w:val="center"/>
          </w:tcPr>
          <w:p w14:paraId="64522308">
            <w:pPr>
              <w:pStyle w:val="20"/>
              <w:rPr>
                <w:rFonts w:ascii="Times New Roman" w:hAnsi="Times New Roman"/>
                <w:sz w:val="21"/>
                <w:szCs w:val="21"/>
                <w:lang w:eastAsia="zh-CN"/>
              </w:rPr>
            </w:pPr>
            <w:r>
              <w:rPr>
                <w:rFonts w:hint="eastAsia" w:ascii="Times New Roman" w:hAnsi="Times New Roman"/>
                <w:sz w:val="21"/>
                <w:szCs w:val="21"/>
              </w:rPr>
              <w:t>天津港股份有限公司</w:t>
            </w:r>
          </w:p>
        </w:tc>
        <w:tc>
          <w:tcPr>
            <w:tcW w:w="1214" w:type="dxa"/>
            <w:shd w:val="clear" w:color="auto" w:fill="FFFFFF" w:themeFill="background1"/>
            <w:vAlign w:val="center"/>
          </w:tcPr>
          <w:p w14:paraId="58ACF0D6">
            <w:pPr>
              <w:pStyle w:val="20"/>
              <w:rPr>
                <w:rFonts w:ascii="Times New Roman" w:hAnsi="Times New Roman"/>
                <w:sz w:val="21"/>
                <w:szCs w:val="21"/>
                <w:lang w:eastAsia="zh-CN"/>
              </w:rPr>
            </w:pPr>
            <w:r>
              <w:rPr>
                <w:rFonts w:hint="eastAsia" w:ascii="Times New Roman" w:hAnsi="Times New Roman"/>
                <w:sz w:val="21"/>
                <w:szCs w:val="21"/>
                <w:lang w:eastAsia="zh-CN"/>
              </w:rPr>
              <w:t>高级工程师</w:t>
            </w:r>
          </w:p>
        </w:tc>
        <w:tc>
          <w:tcPr>
            <w:tcW w:w="709" w:type="dxa"/>
            <w:shd w:val="clear" w:color="auto" w:fill="FFFFFF" w:themeFill="background1"/>
            <w:vAlign w:val="center"/>
          </w:tcPr>
          <w:p w14:paraId="613E8594">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lang w:eastAsia="zh-CN"/>
              </w:rPr>
              <w:t>组员</w:t>
            </w:r>
          </w:p>
        </w:tc>
        <w:tc>
          <w:tcPr>
            <w:tcW w:w="3827" w:type="dxa"/>
            <w:shd w:val="clear" w:color="auto" w:fill="FFFFFF" w:themeFill="background1"/>
            <w:vAlign w:val="center"/>
          </w:tcPr>
          <w:p w14:paraId="54BC6EF3">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r w14:paraId="01935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5B158316">
            <w:pPr>
              <w:pStyle w:val="20"/>
              <w:jc w:val="center"/>
              <w:rPr>
                <w:rFonts w:cs="Times New Roman" w:asciiTheme="minorEastAsia" w:hAnsiTheme="minorEastAsia" w:eastAsiaTheme="minorEastAsia"/>
                <w:sz w:val="21"/>
                <w:szCs w:val="21"/>
                <w:lang w:eastAsia="zh-CN"/>
              </w:rPr>
            </w:pPr>
            <w:r>
              <w:rPr>
                <w:rFonts w:hint="eastAsia" w:ascii="Times New Roman" w:hAnsi="Times New Roman"/>
                <w:sz w:val="21"/>
                <w:szCs w:val="21"/>
              </w:rPr>
              <w:t xml:space="preserve">秦 </w:t>
            </w:r>
            <w:r>
              <w:rPr>
                <w:rFonts w:ascii="Times New Roman" w:hAnsi="Times New Roman"/>
                <w:sz w:val="21"/>
                <w:szCs w:val="21"/>
              </w:rPr>
              <w:t xml:space="preserve"> </w:t>
            </w:r>
            <w:r>
              <w:rPr>
                <w:rFonts w:hint="eastAsia" w:ascii="Times New Roman" w:hAnsi="Times New Roman"/>
                <w:sz w:val="21"/>
                <w:szCs w:val="21"/>
              </w:rPr>
              <w:t>涛</w:t>
            </w:r>
          </w:p>
        </w:tc>
        <w:tc>
          <w:tcPr>
            <w:tcW w:w="1537" w:type="dxa"/>
            <w:shd w:val="clear" w:color="auto" w:fill="FFFFFF" w:themeFill="background1"/>
            <w:vAlign w:val="center"/>
          </w:tcPr>
          <w:p w14:paraId="0CEF6B6E">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lang w:eastAsia="zh-CN"/>
              </w:rPr>
              <w:t>山东港口日照港集团有限公司</w:t>
            </w:r>
          </w:p>
        </w:tc>
        <w:tc>
          <w:tcPr>
            <w:tcW w:w="1214" w:type="dxa"/>
            <w:shd w:val="clear" w:color="auto" w:fill="FFFFFF" w:themeFill="background1"/>
            <w:vAlign w:val="center"/>
          </w:tcPr>
          <w:p w14:paraId="4CCE33BE">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lang w:eastAsia="zh-CN"/>
              </w:rPr>
              <w:t>高级工程师</w:t>
            </w:r>
            <w:r>
              <w:rPr>
                <w:rFonts w:ascii="Times New Roman" w:hAnsi="Times New Roman"/>
                <w:sz w:val="21"/>
                <w:szCs w:val="21"/>
                <w:lang w:eastAsia="zh-CN"/>
              </w:rPr>
              <w:t>/安环部副部长</w:t>
            </w:r>
          </w:p>
        </w:tc>
        <w:tc>
          <w:tcPr>
            <w:tcW w:w="709" w:type="dxa"/>
            <w:shd w:val="clear" w:color="auto" w:fill="FFFFFF" w:themeFill="background1"/>
            <w:vAlign w:val="center"/>
          </w:tcPr>
          <w:p w14:paraId="1B28DD8E">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rPr>
              <w:t>组员</w:t>
            </w:r>
          </w:p>
        </w:tc>
        <w:tc>
          <w:tcPr>
            <w:tcW w:w="3827" w:type="dxa"/>
            <w:shd w:val="clear" w:color="auto" w:fill="FFFFFF" w:themeFill="background1"/>
            <w:vAlign w:val="center"/>
          </w:tcPr>
          <w:p w14:paraId="26C51A5D">
            <w:pPr>
              <w:pStyle w:val="20"/>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lang w:eastAsia="zh-CN"/>
              </w:rPr>
              <w:t>对</w:t>
            </w:r>
            <w:r>
              <w:rPr>
                <w:rFonts w:hint="eastAsia" w:cs="Times New Roman" w:asciiTheme="minorEastAsia" w:hAnsiTheme="minorEastAsia" w:eastAsiaTheme="minorEastAsia"/>
                <w:sz w:val="21"/>
                <w:szCs w:val="21"/>
                <w:lang w:eastAsia="zh-CN"/>
              </w:rPr>
              <w:t>标准</w:t>
            </w:r>
            <w:r>
              <w:rPr>
                <w:rFonts w:cs="Times New Roman" w:asciiTheme="minorEastAsia" w:hAnsiTheme="minorEastAsia" w:eastAsiaTheme="minorEastAsia"/>
                <w:sz w:val="21"/>
                <w:szCs w:val="21"/>
                <w:lang w:eastAsia="zh-CN"/>
              </w:rPr>
              <w:t>编制提出意见或建议。</w:t>
            </w:r>
          </w:p>
        </w:tc>
      </w:tr>
      <w:tr w14:paraId="54459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33C10BE9">
            <w:pPr>
              <w:pStyle w:val="20"/>
              <w:jc w:val="center"/>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井亮</w:t>
            </w:r>
          </w:p>
        </w:tc>
        <w:tc>
          <w:tcPr>
            <w:tcW w:w="1537" w:type="dxa"/>
            <w:shd w:val="clear" w:color="auto" w:fill="FFFFFF" w:themeFill="background1"/>
            <w:vAlign w:val="center"/>
          </w:tcPr>
          <w:p w14:paraId="39513757">
            <w:pPr>
              <w:pStyle w:val="20"/>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pacing w:val="-3"/>
                <w:sz w:val="21"/>
                <w:szCs w:val="21"/>
                <w:lang w:eastAsia="zh-CN"/>
              </w:rPr>
              <w:t>天科院环境科技发展（天津）有限公司</w:t>
            </w:r>
          </w:p>
        </w:tc>
        <w:tc>
          <w:tcPr>
            <w:tcW w:w="1214" w:type="dxa"/>
            <w:shd w:val="clear" w:color="auto" w:fill="FFFFFF" w:themeFill="background1"/>
            <w:vAlign w:val="center"/>
          </w:tcPr>
          <w:p w14:paraId="1CD383CF">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高级</w:t>
            </w:r>
            <w:r>
              <w:rPr>
                <w:rFonts w:cs="Times New Roman" w:asciiTheme="minorEastAsia" w:hAnsiTheme="minorEastAsia" w:eastAsiaTheme="minorEastAsia"/>
                <w:sz w:val="21"/>
                <w:szCs w:val="21"/>
                <w:lang w:eastAsia="zh-CN"/>
              </w:rPr>
              <w:t>工程师/部门</w:t>
            </w:r>
            <w:r>
              <w:rPr>
                <w:rFonts w:hint="eastAsia" w:cs="Times New Roman" w:asciiTheme="minorEastAsia" w:hAnsiTheme="minorEastAsia" w:eastAsiaTheme="minorEastAsia"/>
                <w:sz w:val="21"/>
                <w:szCs w:val="21"/>
                <w:lang w:eastAsia="zh-CN"/>
              </w:rPr>
              <w:t>副</w:t>
            </w:r>
            <w:r>
              <w:rPr>
                <w:rFonts w:cs="Times New Roman" w:asciiTheme="minorEastAsia" w:hAnsiTheme="minorEastAsia" w:eastAsiaTheme="minorEastAsia"/>
                <w:sz w:val="21"/>
                <w:szCs w:val="21"/>
                <w:lang w:eastAsia="zh-CN"/>
              </w:rPr>
              <w:t>主任</w:t>
            </w:r>
          </w:p>
        </w:tc>
        <w:tc>
          <w:tcPr>
            <w:tcW w:w="709" w:type="dxa"/>
            <w:shd w:val="clear" w:color="auto" w:fill="FFFFFF" w:themeFill="background1"/>
            <w:vAlign w:val="center"/>
          </w:tcPr>
          <w:p w14:paraId="2D810E7A">
            <w:pPr>
              <w:pStyle w:val="20"/>
              <w:jc w:val="center"/>
              <w:rPr>
                <w:rFonts w:cs="Times New Roman" w:asciiTheme="minorEastAsia" w:hAnsiTheme="minorEastAsia" w:eastAsiaTheme="minorEastAsia"/>
                <w:sz w:val="21"/>
                <w:szCs w:val="21"/>
              </w:rPr>
            </w:pPr>
            <w:r>
              <w:rPr>
                <w:rFonts w:cs="Times New Roman" w:asciiTheme="minorEastAsia" w:hAnsiTheme="minorEastAsia" w:eastAsiaTheme="minorEastAsia"/>
                <w:sz w:val="21"/>
                <w:szCs w:val="21"/>
              </w:rPr>
              <w:t>组员</w:t>
            </w:r>
          </w:p>
        </w:tc>
        <w:tc>
          <w:tcPr>
            <w:tcW w:w="3827" w:type="dxa"/>
            <w:shd w:val="clear" w:color="auto" w:fill="FFFFFF" w:themeFill="background1"/>
            <w:vAlign w:val="center"/>
          </w:tcPr>
          <w:p w14:paraId="5DCC9D35">
            <w:pPr>
              <w:pStyle w:val="20"/>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pacing w:val="-3"/>
                <w:sz w:val="21"/>
                <w:szCs w:val="21"/>
                <w:lang w:eastAsia="zh-CN"/>
              </w:rPr>
              <w:t>组织协调</w:t>
            </w:r>
            <w:r>
              <w:rPr>
                <w:rFonts w:hint="eastAsia" w:cs="Times New Roman" w:asciiTheme="minorEastAsia" w:hAnsiTheme="minorEastAsia" w:eastAsiaTheme="minorEastAsia"/>
                <w:spacing w:val="-3"/>
                <w:sz w:val="21"/>
                <w:szCs w:val="21"/>
                <w:lang w:eastAsia="zh-CN"/>
              </w:rPr>
              <w:t>标准</w:t>
            </w:r>
            <w:r>
              <w:rPr>
                <w:rFonts w:cs="Times New Roman" w:asciiTheme="minorEastAsia" w:hAnsiTheme="minorEastAsia" w:eastAsiaTheme="minorEastAsia"/>
                <w:spacing w:val="-3"/>
                <w:sz w:val="21"/>
                <w:szCs w:val="21"/>
                <w:lang w:eastAsia="zh-CN"/>
              </w:rPr>
              <w:t>制定所需资源</w:t>
            </w:r>
            <w:r>
              <w:rPr>
                <w:rFonts w:hint="eastAsia" w:cs="Times New Roman" w:asciiTheme="minorEastAsia" w:hAnsiTheme="minorEastAsia" w:eastAsiaTheme="minorEastAsia"/>
                <w:spacing w:val="-3"/>
                <w:sz w:val="21"/>
                <w:szCs w:val="21"/>
                <w:lang w:eastAsia="zh-CN"/>
              </w:rPr>
              <w:t>，选取我国典型干散货码头开展智能喷淋抑尘效果实测研究</w:t>
            </w:r>
          </w:p>
        </w:tc>
      </w:tr>
      <w:tr w14:paraId="7FC36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78AB82CF">
            <w:pPr>
              <w:pStyle w:val="20"/>
              <w:jc w:val="center"/>
              <w:rPr>
                <w:rFonts w:cs="Times New Roman" w:asciiTheme="minorEastAsia" w:hAnsiTheme="minorEastAsia" w:eastAsiaTheme="minorEastAsia"/>
                <w:sz w:val="21"/>
                <w:szCs w:val="21"/>
                <w:lang w:eastAsia="zh-CN"/>
              </w:rPr>
            </w:pPr>
            <w:r>
              <w:rPr>
                <w:rFonts w:hint="eastAsia" w:ascii="Times New Roman" w:hAnsi="Times New Roman"/>
                <w:sz w:val="21"/>
                <w:szCs w:val="21"/>
              </w:rPr>
              <w:t>徐  鹏</w:t>
            </w:r>
          </w:p>
        </w:tc>
        <w:tc>
          <w:tcPr>
            <w:tcW w:w="1537" w:type="dxa"/>
            <w:shd w:val="clear" w:color="auto" w:fill="FFFFFF" w:themeFill="background1"/>
            <w:vAlign w:val="center"/>
          </w:tcPr>
          <w:p w14:paraId="2EF21D56">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lang w:eastAsia="zh-CN"/>
              </w:rPr>
              <w:t>秦皇岛港股份有限公司</w:t>
            </w:r>
          </w:p>
        </w:tc>
        <w:tc>
          <w:tcPr>
            <w:tcW w:w="1214" w:type="dxa"/>
            <w:shd w:val="clear" w:color="auto" w:fill="FFFFFF" w:themeFill="background1"/>
            <w:vAlign w:val="center"/>
          </w:tcPr>
          <w:p w14:paraId="16B1CE42">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rPr>
              <w:t>高级工程师</w:t>
            </w:r>
            <w:r>
              <w:rPr>
                <w:rFonts w:hint="eastAsia" w:ascii="Times New Roman" w:hAnsi="Times New Roman"/>
                <w:sz w:val="21"/>
                <w:szCs w:val="21"/>
                <w:lang w:eastAsia="zh-CN"/>
              </w:rPr>
              <w:t>/</w:t>
            </w:r>
          </w:p>
        </w:tc>
        <w:tc>
          <w:tcPr>
            <w:tcW w:w="709" w:type="dxa"/>
            <w:shd w:val="clear" w:color="auto" w:fill="FFFFFF" w:themeFill="background1"/>
            <w:vAlign w:val="center"/>
          </w:tcPr>
          <w:p w14:paraId="1178728C">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rPr>
              <w:t>组员</w:t>
            </w:r>
          </w:p>
        </w:tc>
        <w:tc>
          <w:tcPr>
            <w:tcW w:w="3827" w:type="dxa"/>
            <w:shd w:val="clear" w:color="auto" w:fill="FFFFFF" w:themeFill="background1"/>
            <w:vAlign w:val="center"/>
          </w:tcPr>
          <w:p w14:paraId="74B9BF38">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r w14:paraId="7BF5E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2BC62DF3">
            <w:pPr>
              <w:pStyle w:val="20"/>
              <w:jc w:val="center"/>
              <w:rPr>
                <w:rFonts w:cs="Times New Roman" w:asciiTheme="minorEastAsia" w:hAnsiTheme="minorEastAsia" w:eastAsiaTheme="minorEastAsia"/>
                <w:sz w:val="21"/>
                <w:szCs w:val="21"/>
                <w:lang w:eastAsia="zh-CN"/>
              </w:rPr>
            </w:pPr>
            <w:r>
              <w:rPr>
                <w:rFonts w:hint="eastAsia" w:ascii="Times New Roman" w:hAnsi="Times New Roman"/>
                <w:sz w:val="21"/>
                <w:szCs w:val="21"/>
              </w:rPr>
              <w:t>浦家飞</w:t>
            </w:r>
          </w:p>
        </w:tc>
        <w:tc>
          <w:tcPr>
            <w:tcW w:w="1537" w:type="dxa"/>
            <w:shd w:val="clear" w:color="auto" w:fill="FFFFFF" w:themeFill="background1"/>
            <w:vAlign w:val="center"/>
          </w:tcPr>
          <w:p w14:paraId="20C0013D">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lang w:eastAsia="zh-CN"/>
              </w:rPr>
              <w:t>辽宁港口集团有限公司</w:t>
            </w:r>
          </w:p>
        </w:tc>
        <w:tc>
          <w:tcPr>
            <w:tcW w:w="1214" w:type="dxa"/>
            <w:shd w:val="clear" w:color="auto" w:fill="FFFFFF" w:themeFill="background1"/>
            <w:vAlign w:val="center"/>
          </w:tcPr>
          <w:p w14:paraId="44E38595">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rPr>
              <w:t>高级工程师</w:t>
            </w:r>
            <w:r>
              <w:rPr>
                <w:rFonts w:hint="eastAsia" w:ascii="Times New Roman" w:hAnsi="Times New Roman"/>
                <w:sz w:val="21"/>
                <w:szCs w:val="21"/>
                <w:lang w:eastAsia="zh-CN"/>
              </w:rPr>
              <w:t>/</w:t>
            </w:r>
          </w:p>
        </w:tc>
        <w:tc>
          <w:tcPr>
            <w:tcW w:w="709" w:type="dxa"/>
            <w:shd w:val="clear" w:color="auto" w:fill="FFFFFF" w:themeFill="background1"/>
            <w:vAlign w:val="center"/>
          </w:tcPr>
          <w:p w14:paraId="3F44D0E5">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rPr>
              <w:t>组员</w:t>
            </w:r>
          </w:p>
        </w:tc>
        <w:tc>
          <w:tcPr>
            <w:tcW w:w="3827" w:type="dxa"/>
            <w:shd w:val="clear" w:color="auto" w:fill="FFFFFF" w:themeFill="background1"/>
            <w:vAlign w:val="center"/>
          </w:tcPr>
          <w:p w14:paraId="0F97CCB5">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r w14:paraId="49E8B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37FE66E0">
            <w:pPr>
              <w:pStyle w:val="20"/>
              <w:jc w:val="center"/>
              <w:rPr>
                <w:rFonts w:ascii="Times New Roman" w:hAnsi="Times New Roman"/>
                <w:sz w:val="21"/>
                <w:szCs w:val="21"/>
                <w:lang w:eastAsia="zh-CN"/>
              </w:rPr>
            </w:pPr>
            <w:r>
              <w:rPr>
                <w:rFonts w:cs="Times New Roman" w:asciiTheme="minorEastAsia" w:hAnsiTheme="minorEastAsia" w:eastAsiaTheme="minorEastAsia"/>
                <w:sz w:val="21"/>
                <w:szCs w:val="21"/>
                <w:lang w:eastAsia="zh-CN"/>
              </w:rPr>
              <w:t>孙超</w:t>
            </w:r>
          </w:p>
        </w:tc>
        <w:tc>
          <w:tcPr>
            <w:tcW w:w="1537" w:type="dxa"/>
            <w:shd w:val="clear" w:color="auto" w:fill="FFFFFF" w:themeFill="background1"/>
            <w:vAlign w:val="center"/>
          </w:tcPr>
          <w:p w14:paraId="0AD4F0D4">
            <w:pPr>
              <w:pStyle w:val="20"/>
              <w:rPr>
                <w:rFonts w:ascii="Times New Roman" w:hAnsi="Times New Roman"/>
                <w:sz w:val="21"/>
                <w:szCs w:val="21"/>
                <w:lang w:eastAsia="zh-CN"/>
              </w:rPr>
            </w:pPr>
            <w:r>
              <w:rPr>
                <w:rFonts w:hint="eastAsia" w:cs="Times New Roman" w:asciiTheme="minorEastAsia" w:hAnsiTheme="minorEastAsia" w:eastAsiaTheme="minorEastAsia"/>
                <w:sz w:val="21"/>
                <w:szCs w:val="21"/>
                <w:lang w:eastAsia="zh-CN"/>
              </w:rPr>
              <w:t>天津港股份有限公司</w:t>
            </w:r>
          </w:p>
        </w:tc>
        <w:tc>
          <w:tcPr>
            <w:tcW w:w="1214" w:type="dxa"/>
            <w:shd w:val="clear" w:color="auto" w:fill="FFFFFF" w:themeFill="background1"/>
            <w:vAlign w:val="center"/>
          </w:tcPr>
          <w:p w14:paraId="49B2210C">
            <w:pPr>
              <w:pStyle w:val="20"/>
              <w:rPr>
                <w:rFonts w:ascii="Times New Roman" w:hAnsi="Times New Roman"/>
                <w:sz w:val="21"/>
                <w:szCs w:val="21"/>
              </w:rPr>
            </w:pPr>
            <w:r>
              <w:rPr>
                <w:rFonts w:cs="Times New Roman" w:asciiTheme="minorEastAsia" w:hAnsiTheme="minorEastAsia" w:eastAsiaTheme="minorEastAsia"/>
                <w:sz w:val="21"/>
                <w:szCs w:val="21"/>
                <w:lang w:eastAsia="zh-CN"/>
              </w:rPr>
              <w:t>高级工程师</w:t>
            </w:r>
          </w:p>
        </w:tc>
        <w:tc>
          <w:tcPr>
            <w:tcW w:w="709" w:type="dxa"/>
            <w:shd w:val="clear" w:color="auto" w:fill="FFFFFF" w:themeFill="background1"/>
            <w:vAlign w:val="center"/>
          </w:tcPr>
          <w:p w14:paraId="2873B582">
            <w:pPr>
              <w:pStyle w:val="20"/>
              <w:jc w:val="center"/>
              <w:rPr>
                <w:rFonts w:cs="Times New Roman" w:asciiTheme="minorEastAsia" w:hAnsiTheme="minorEastAsia" w:eastAsiaTheme="minorEastAsia"/>
                <w:sz w:val="21"/>
                <w:szCs w:val="21"/>
              </w:rPr>
            </w:pPr>
            <w:r>
              <w:rPr>
                <w:rFonts w:cs="Times New Roman" w:asciiTheme="minorEastAsia" w:hAnsiTheme="minorEastAsia" w:eastAsiaTheme="minorEastAsia"/>
                <w:sz w:val="21"/>
                <w:szCs w:val="21"/>
                <w:lang w:eastAsia="zh-CN"/>
              </w:rPr>
              <w:t>组员</w:t>
            </w:r>
          </w:p>
        </w:tc>
        <w:tc>
          <w:tcPr>
            <w:tcW w:w="3827" w:type="dxa"/>
            <w:shd w:val="clear" w:color="auto" w:fill="FFFFFF" w:themeFill="background1"/>
            <w:vAlign w:val="center"/>
          </w:tcPr>
          <w:p w14:paraId="6B4FB48A">
            <w:pPr>
              <w:pStyle w:val="20"/>
              <w:jc w:val="both"/>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r w14:paraId="2A892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4EB011F7">
            <w:pPr>
              <w:pStyle w:val="20"/>
              <w:jc w:val="center"/>
              <w:rPr>
                <w:rFonts w:cs="Times New Roman" w:asciiTheme="minorEastAsia" w:hAnsiTheme="minorEastAsia" w:eastAsiaTheme="minorEastAsia"/>
                <w:sz w:val="21"/>
                <w:szCs w:val="21"/>
                <w:lang w:eastAsia="zh-CN"/>
              </w:rPr>
            </w:pPr>
            <w:r>
              <w:rPr>
                <w:rFonts w:hint="eastAsia" w:ascii="Times New Roman" w:hAnsi="Times New Roman"/>
                <w:sz w:val="21"/>
                <w:szCs w:val="21"/>
              </w:rPr>
              <w:t xml:space="preserve">王 </w:t>
            </w:r>
            <w:r>
              <w:rPr>
                <w:rFonts w:ascii="Times New Roman" w:hAnsi="Times New Roman"/>
                <w:sz w:val="21"/>
                <w:szCs w:val="21"/>
              </w:rPr>
              <w:t xml:space="preserve"> </w:t>
            </w:r>
            <w:r>
              <w:rPr>
                <w:rFonts w:hint="eastAsia" w:ascii="Times New Roman" w:hAnsi="Times New Roman"/>
                <w:sz w:val="21"/>
                <w:szCs w:val="21"/>
              </w:rPr>
              <w:t>英</w:t>
            </w:r>
          </w:p>
        </w:tc>
        <w:tc>
          <w:tcPr>
            <w:tcW w:w="1537" w:type="dxa"/>
            <w:shd w:val="clear" w:color="auto" w:fill="FFFFFF" w:themeFill="background1"/>
            <w:vAlign w:val="center"/>
          </w:tcPr>
          <w:p w14:paraId="267B68A0">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lang w:eastAsia="zh-CN"/>
              </w:rPr>
              <w:t>山东港口日照港集团有限公司</w:t>
            </w:r>
          </w:p>
        </w:tc>
        <w:tc>
          <w:tcPr>
            <w:tcW w:w="1214" w:type="dxa"/>
            <w:shd w:val="clear" w:color="auto" w:fill="FFFFFF" w:themeFill="background1"/>
            <w:vAlign w:val="center"/>
          </w:tcPr>
          <w:p w14:paraId="68AFB0E0">
            <w:pPr>
              <w:pStyle w:val="20"/>
              <w:rPr>
                <w:rFonts w:cs="Times New Roman" w:asciiTheme="minorEastAsia" w:hAnsiTheme="minorEastAsia" w:eastAsiaTheme="minorEastAsia"/>
                <w:sz w:val="21"/>
                <w:szCs w:val="21"/>
                <w:lang w:eastAsia="zh-CN"/>
              </w:rPr>
            </w:pPr>
            <w:r>
              <w:rPr>
                <w:rFonts w:hint="eastAsia" w:ascii="Times New Roman" w:hAnsi="Times New Roman"/>
                <w:sz w:val="21"/>
                <w:szCs w:val="21"/>
              </w:rPr>
              <w:t>高级工程师</w:t>
            </w:r>
          </w:p>
        </w:tc>
        <w:tc>
          <w:tcPr>
            <w:tcW w:w="709" w:type="dxa"/>
            <w:shd w:val="clear" w:color="auto" w:fill="FFFFFF" w:themeFill="background1"/>
            <w:vAlign w:val="center"/>
          </w:tcPr>
          <w:p w14:paraId="01EE0D7F">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rPr>
              <w:t>组员</w:t>
            </w:r>
          </w:p>
        </w:tc>
        <w:tc>
          <w:tcPr>
            <w:tcW w:w="3827" w:type="dxa"/>
            <w:shd w:val="clear" w:color="auto" w:fill="FFFFFF" w:themeFill="background1"/>
            <w:vAlign w:val="center"/>
          </w:tcPr>
          <w:p w14:paraId="6834F80A">
            <w:pPr>
              <w:pStyle w:val="20"/>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r w14:paraId="2AC48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0FD1FAA4">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lang w:eastAsia="zh-CN"/>
              </w:rPr>
              <w:t>李金钊</w:t>
            </w:r>
          </w:p>
        </w:tc>
        <w:tc>
          <w:tcPr>
            <w:tcW w:w="1537" w:type="dxa"/>
            <w:shd w:val="clear" w:color="auto" w:fill="FFFFFF" w:themeFill="background1"/>
            <w:vAlign w:val="center"/>
          </w:tcPr>
          <w:p w14:paraId="2AB7DFA2">
            <w:pPr>
              <w:pStyle w:val="20"/>
              <w:rPr>
                <w:rFonts w:cs="Times New Roman" w:asciiTheme="minorEastAsia" w:hAnsiTheme="minorEastAsia" w:eastAsiaTheme="minorEastAsia"/>
                <w:spacing w:val="-3"/>
                <w:sz w:val="21"/>
                <w:szCs w:val="21"/>
                <w:lang w:eastAsia="zh-CN"/>
              </w:rPr>
            </w:pPr>
            <w:r>
              <w:rPr>
                <w:rFonts w:cs="Times New Roman" w:asciiTheme="minorEastAsia" w:hAnsiTheme="minorEastAsia" w:eastAsiaTheme="minorEastAsia"/>
                <w:spacing w:val="-3"/>
                <w:sz w:val="21"/>
                <w:szCs w:val="21"/>
                <w:lang w:eastAsia="zh-CN"/>
              </w:rPr>
              <w:t>天科院环境科技发展（天津）有限公司</w:t>
            </w:r>
          </w:p>
        </w:tc>
        <w:tc>
          <w:tcPr>
            <w:tcW w:w="1214" w:type="dxa"/>
            <w:shd w:val="clear" w:color="auto" w:fill="FFFFFF" w:themeFill="background1"/>
            <w:vAlign w:val="center"/>
          </w:tcPr>
          <w:p w14:paraId="29C81144">
            <w:pPr>
              <w:pStyle w:val="20"/>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rPr>
              <w:t>工程师/职员</w:t>
            </w:r>
          </w:p>
        </w:tc>
        <w:tc>
          <w:tcPr>
            <w:tcW w:w="709" w:type="dxa"/>
            <w:shd w:val="clear" w:color="auto" w:fill="FFFFFF" w:themeFill="background1"/>
            <w:vAlign w:val="center"/>
          </w:tcPr>
          <w:p w14:paraId="3D2B5242">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rPr>
              <w:t>组员</w:t>
            </w:r>
          </w:p>
        </w:tc>
        <w:tc>
          <w:tcPr>
            <w:tcW w:w="3827" w:type="dxa"/>
            <w:shd w:val="clear" w:color="auto" w:fill="FFFFFF" w:themeFill="background1"/>
            <w:vAlign w:val="center"/>
          </w:tcPr>
          <w:p w14:paraId="6A905AE4">
            <w:pPr>
              <w:pStyle w:val="20"/>
              <w:rPr>
                <w:rFonts w:cs="Times New Roman" w:asciiTheme="minorEastAsia" w:hAnsiTheme="minorEastAsia" w:eastAsiaTheme="minorEastAsia"/>
                <w:spacing w:val="-3"/>
                <w:sz w:val="21"/>
                <w:szCs w:val="21"/>
                <w:lang w:eastAsia="zh-CN"/>
              </w:rPr>
            </w:pPr>
            <w:r>
              <w:rPr>
                <w:rFonts w:hint="eastAsia" w:cs="Times New Roman" w:asciiTheme="minorEastAsia" w:hAnsiTheme="minorEastAsia" w:eastAsiaTheme="minorEastAsia"/>
                <w:sz w:val="21"/>
                <w:szCs w:val="21"/>
                <w:lang w:eastAsia="zh-CN"/>
              </w:rPr>
              <w:t>分析干散货作业常见物料种类不同含水率和风速条件下的起尘特征，研究不同情境模式下含水率变化规律</w:t>
            </w:r>
          </w:p>
        </w:tc>
      </w:tr>
      <w:tr w14:paraId="67824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 w:type="dxa"/>
            <w:shd w:val="clear" w:color="auto" w:fill="FFFFFF" w:themeFill="background1"/>
            <w:vAlign w:val="center"/>
          </w:tcPr>
          <w:p w14:paraId="2A1A7096">
            <w:pPr>
              <w:pStyle w:val="20"/>
              <w:jc w:val="center"/>
              <w:rPr>
                <w:rFonts w:ascii="Times New Roman" w:hAnsi="Times New Roman"/>
                <w:sz w:val="21"/>
                <w:szCs w:val="21"/>
                <w:lang w:eastAsia="zh-CN"/>
              </w:rPr>
            </w:pPr>
            <w:r>
              <w:rPr>
                <w:rFonts w:cs="Times New Roman" w:asciiTheme="minorEastAsia" w:hAnsiTheme="minorEastAsia" w:eastAsiaTheme="minorEastAsia"/>
                <w:sz w:val="21"/>
                <w:szCs w:val="21"/>
                <w:lang w:eastAsia="zh-CN"/>
              </w:rPr>
              <w:t>王宝明</w:t>
            </w:r>
          </w:p>
        </w:tc>
        <w:tc>
          <w:tcPr>
            <w:tcW w:w="1537" w:type="dxa"/>
            <w:shd w:val="clear" w:color="auto" w:fill="FFFFFF" w:themeFill="background1"/>
            <w:vAlign w:val="center"/>
          </w:tcPr>
          <w:p w14:paraId="083BDDE3">
            <w:pPr>
              <w:pStyle w:val="20"/>
              <w:rPr>
                <w:rFonts w:ascii="Times New Roman" w:hAnsi="Times New Roman"/>
                <w:sz w:val="21"/>
                <w:szCs w:val="21"/>
                <w:lang w:eastAsia="zh-CN"/>
              </w:rPr>
            </w:pPr>
            <w:r>
              <w:rPr>
                <w:rFonts w:hint="eastAsia" w:cs="Times New Roman" w:asciiTheme="minorEastAsia" w:hAnsiTheme="minorEastAsia" w:eastAsiaTheme="minorEastAsia"/>
                <w:sz w:val="21"/>
                <w:szCs w:val="21"/>
                <w:lang w:eastAsia="zh-CN"/>
              </w:rPr>
              <w:t>天津港股份有限公司</w:t>
            </w:r>
          </w:p>
        </w:tc>
        <w:tc>
          <w:tcPr>
            <w:tcW w:w="1214" w:type="dxa"/>
            <w:shd w:val="clear" w:color="auto" w:fill="FFFFFF" w:themeFill="background1"/>
            <w:vAlign w:val="center"/>
          </w:tcPr>
          <w:p w14:paraId="12E3A2EE">
            <w:pPr>
              <w:pStyle w:val="20"/>
              <w:rPr>
                <w:rFonts w:ascii="Times New Roman" w:hAnsi="Times New Roman"/>
                <w:sz w:val="21"/>
                <w:szCs w:val="21"/>
                <w:lang w:eastAsia="zh-CN"/>
              </w:rPr>
            </w:pPr>
            <w:r>
              <w:rPr>
                <w:rFonts w:cs="Times New Roman" w:asciiTheme="minorEastAsia" w:hAnsiTheme="minorEastAsia" w:eastAsiaTheme="minorEastAsia"/>
                <w:sz w:val="21"/>
                <w:szCs w:val="21"/>
                <w:lang w:eastAsia="zh-CN"/>
              </w:rPr>
              <w:t>高级工程师</w:t>
            </w:r>
          </w:p>
        </w:tc>
        <w:tc>
          <w:tcPr>
            <w:tcW w:w="709" w:type="dxa"/>
            <w:shd w:val="clear" w:color="auto" w:fill="FFFFFF" w:themeFill="background1"/>
            <w:vAlign w:val="center"/>
          </w:tcPr>
          <w:p w14:paraId="368BF9DB">
            <w:pPr>
              <w:pStyle w:val="20"/>
              <w:jc w:val="center"/>
              <w:rPr>
                <w:rFonts w:cs="Times New Roman" w:asciiTheme="minorEastAsia" w:hAnsiTheme="minorEastAsia" w:eastAsiaTheme="minorEastAsia"/>
                <w:sz w:val="21"/>
                <w:szCs w:val="21"/>
                <w:lang w:eastAsia="zh-CN"/>
              </w:rPr>
            </w:pPr>
            <w:r>
              <w:rPr>
                <w:rFonts w:cs="Times New Roman" w:asciiTheme="minorEastAsia" w:hAnsiTheme="minorEastAsia" w:eastAsiaTheme="minorEastAsia"/>
                <w:sz w:val="21"/>
                <w:szCs w:val="21"/>
                <w:lang w:eastAsia="zh-CN"/>
              </w:rPr>
              <w:t>组员</w:t>
            </w:r>
          </w:p>
        </w:tc>
        <w:tc>
          <w:tcPr>
            <w:tcW w:w="3827" w:type="dxa"/>
            <w:shd w:val="clear" w:color="auto" w:fill="FFFFFF" w:themeFill="background1"/>
            <w:vAlign w:val="center"/>
          </w:tcPr>
          <w:p w14:paraId="681E7954">
            <w:pPr>
              <w:pStyle w:val="20"/>
              <w:jc w:val="both"/>
              <w:rPr>
                <w:rFonts w:cs="Times New Roman" w:asciiTheme="minorEastAsia" w:hAnsiTheme="minorEastAsia" w:eastAsiaTheme="minorEastAsia"/>
                <w:sz w:val="21"/>
                <w:szCs w:val="21"/>
                <w:lang w:eastAsia="zh-CN"/>
              </w:rPr>
            </w:pPr>
            <w:r>
              <w:rPr>
                <w:rFonts w:hint="eastAsia" w:cs="Times New Roman" w:asciiTheme="minorEastAsia" w:hAnsiTheme="minorEastAsia" w:eastAsiaTheme="minorEastAsia"/>
                <w:sz w:val="21"/>
                <w:szCs w:val="21"/>
                <w:lang w:eastAsia="zh-CN"/>
              </w:rPr>
              <w:t>对标准编制提出意见或建议</w:t>
            </w:r>
          </w:p>
        </w:tc>
      </w:tr>
    </w:tbl>
    <w:p w14:paraId="4B76BB21">
      <w:pPr>
        <w:spacing w:before="240" w:after="240"/>
        <w:ind w:left="607"/>
        <w:rPr>
          <w:rFonts w:ascii="Times New Roman" w:hAnsi="Times New Roman" w:cs="Times New Roman"/>
          <w:b/>
          <w:sz w:val="24"/>
          <w:szCs w:val="24"/>
          <w:lang w:eastAsia="zh-CN"/>
        </w:rPr>
      </w:pPr>
      <w:r>
        <w:rPr>
          <w:rFonts w:ascii="Times New Roman" w:hAnsi="Times New Roman" w:cs="Times New Roman"/>
          <w:b/>
          <w:sz w:val="24"/>
          <w:szCs w:val="24"/>
          <w:lang w:eastAsia="zh-CN"/>
        </w:rPr>
        <w:t>（四）主要工作过程</w:t>
      </w:r>
    </w:p>
    <w:p w14:paraId="15ADC5E5">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2021</w:t>
      </w:r>
      <w:r>
        <w:rPr>
          <w:rFonts w:ascii="Times New Roman" w:hAnsi="Times New Roman" w:cs="Times New Roman"/>
          <w:spacing w:val="-12"/>
          <w:lang w:eastAsia="zh-CN"/>
        </w:rPr>
        <w:t xml:space="preserve"> 年根</w:t>
      </w:r>
      <w:r>
        <w:rPr>
          <w:rFonts w:ascii="Times New Roman" w:hAnsi="Times New Roman" w:cs="Times New Roman"/>
          <w:lang w:eastAsia="zh-CN"/>
        </w:rPr>
        <w:t>据中国港口协会关于下达 2021 年中国港口协会团体标准化计划通知（中港协行函[2021]21 号）的要求，项目承担单位根据计划要求，成立编制组，明确了</w:t>
      </w:r>
      <w:r>
        <w:rPr>
          <w:rFonts w:hint="eastAsia" w:ascii="Times New Roman" w:hAnsi="Times New Roman" w:cs="Times New Roman"/>
          <w:lang w:eastAsia="zh-CN"/>
        </w:rPr>
        <w:t>标准</w:t>
      </w:r>
      <w:r>
        <w:rPr>
          <w:rFonts w:ascii="Times New Roman" w:hAnsi="Times New Roman" w:cs="Times New Roman"/>
          <w:lang w:eastAsia="zh-CN"/>
        </w:rPr>
        <w:t>编写任务分工和时间进度安排，组织开展</w:t>
      </w:r>
      <w:r>
        <w:rPr>
          <w:rFonts w:hint="eastAsia" w:ascii="Times New Roman" w:hAnsi="Times New Roman" w:cs="Times New Roman"/>
          <w:lang w:eastAsia="zh-CN"/>
        </w:rPr>
        <w:t>标准</w:t>
      </w:r>
      <w:r>
        <w:rPr>
          <w:rFonts w:ascii="Times New Roman" w:hAnsi="Times New Roman" w:cs="Times New Roman"/>
          <w:lang w:eastAsia="zh-CN"/>
        </w:rPr>
        <w:t>制定工作：</w:t>
      </w:r>
    </w:p>
    <w:p w14:paraId="7A3F6E7A">
      <w:pPr>
        <w:pStyle w:val="6"/>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1、2022年1月，《干散货码头露天堆场智能喷淋系统技术规范》获批立项，由天科院环境科技发展（天津）有限公司牵头，联合秦皇岛港股份有限公司、辽宁港口集团有限公司、天津港股份有限公司、山东省港口集团有限公司，成立团体标准编写项目组。</w:t>
      </w:r>
    </w:p>
    <w:p w14:paraId="2EE3C89D">
      <w:pPr>
        <w:pStyle w:val="6"/>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2、2022年2月～2022年5月，项目组对我国大宗散货港口堆场喷淋工作进行总结分析、走访、调研。项目组各参编公司根据各自对口专业，分别就各自港口关于改标准涉及的各方面内容进行探讨与研究。</w:t>
      </w:r>
    </w:p>
    <w:p w14:paraId="6A7C3438">
      <w:pPr>
        <w:pStyle w:val="6"/>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3、2022年5月，召开《干散货码头露天堆场智能喷淋系统技术规范》大纲评审会；</w:t>
      </w:r>
    </w:p>
    <w:p w14:paraId="18BB17BD">
      <w:pPr>
        <w:pStyle w:val="6"/>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4、2022年6月～2022年11月，项目组根据前期走访、调研情况，结合团体标准项目申报书相关内容，召开工作会议、落实工作分工，编写工作大纲（送审稿与报批稿）。</w:t>
      </w:r>
    </w:p>
    <w:p w14:paraId="6E3BAF9D">
      <w:pPr>
        <w:pStyle w:val="6"/>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5、2022 年12月～2023 年6月，针对团体标准大纲有关条款，对我国大宗干散货港口展开回访，收集反馈意见。</w:t>
      </w:r>
    </w:p>
    <w:p w14:paraId="4A6DEFEF">
      <w:pPr>
        <w:pStyle w:val="6"/>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6、预计2023 年 9 月，完成团体标准征求意见，召开团体标准评审会，根据评审意见对团体标准中相关条款进行修改，完成标准发布。</w:t>
      </w:r>
    </w:p>
    <w:p w14:paraId="6BE6B13E">
      <w:pPr>
        <w:pStyle w:val="2"/>
        <w:spacing w:before="240" w:after="120" w:afterLines="50"/>
        <w:ind w:left="607"/>
        <w:rPr>
          <w:rFonts w:ascii="Times New Roman" w:hAnsi="Times New Roman" w:eastAsia="黑体" w:cs="Times New Roman"/>
          <w:spacing w:val="-2"/>
          <w:sz w:val="28"/>
          <w:szCs w:val="28"/>
          <w:lang w:eastAsia="zh-CN"/>
        </w:rPr>
      </w:pPr>
      <w:bookmarkStart w:id="1" w:name="_Toc178580718"/>
      <w:r>
        <w:rPr>
          <w:rFonts w:ascii="Times New Roman" w:hAnsi="Times New Roman" w:eastAsia="黑体" w:cs="Times New Roman"/>
          <w:spacing w:val="-2"/>
          <w:sz w:val="28"/>
          <w:szCs w:val="28"/>
          <w:lang w:eastAsia="zh-CN"/>
        </w:rPr>
        <w:t>二、标准编制原则和确定标准主要内容的论据</w:t>
      </w:r>
      <w:bookmarkEnd w:id="1"/>
    </w:p>
    <w:p w14:paraId="6137461D">
      <w:pPr>
        <w:spacing w:before="240" w:after="240"/>
        <w:ind w:left="607"/>
        <w:rPr>
          <w:rFonts w:ascii="Times New Roman" w:hAnsi="Times New Roman" w:cs="Times New Roman"/>
          <w:b/>
          <w:sz w:val="24"/>
          <w:szCs w:val="24"/>
          <w:lang w:eastAsia="zh-CN"/>
        </w:rPr>
      </w:pPr>
      <w:r>
        <w:rPr>
          <w:rFonts w:ascii="Times New Roman" w:hAnsi="Times New Roman" w:cs="Times New Roman"/>
          <w:b/>
          <w:sz w:val="24"/>
          <w:szCs w:val="24"/>
          <w:lang w:eastAsia="zh-CN"/>
        </w:rPr>
        <w:t>（一）标准编制原则</w:t>
      </w:r>
    </w:p>
    <w:p w14:paraId="5C26EB39">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spacing w:val="-10"/>
          <w:lang w:eastAsia="zh-CN"/>
        </w:rPr>
        <w:t>本</w:t>
      </w:r>
      <w:r>
        <w:rPr>
          <w:rFonts w:ascii="Times New Roman" w:hAnsi="Times New Roman" w:cs="Times New Roman"/>
          <w:lang w:eastAsia="zh-CN"/>
        </w:rPr>
        <w:t>文件按照 GB/T 1.1-2020《标准化工作导则 第 1 部分：标准化文件的结构和起草规则》的规定起草。</w:t>
      </w:r>
    </w:p>
    <w:p w14:paraId="234F336F">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适用性原则：标准制定的相关内容应便于使用，一方面应适于直接使用，另 一方面也应考虑便于被其它文件引用。</w:t>
      </w:r>
    </w:p>
    <w:p w14:paraId="239FDBE3">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协调性原则：应考虑标准之间的整体协调，在制定标准时应注意和已经发布的标准进行协调，遵守基础标准和采取引用的方式是保证标准协调的有效途径。注重与现行的国际标准、国家标准、行业标准和团体标准相衔接，本文件中规定的术语必须与相应的国际标准和国家标准的规定相一致，不能存在矛盾。文件内容必须与国际标准、国家标准兼容，不能出现冲突。</w:t>
      </w:r>
    </w:p>
    <w:p w14:paraId="259909B0">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规范性原则：起草标准时遵守与标准制定有关的基础标准和相关法律法规。</w:t>
      </w:r>
    </w:p>
    <w:p w14:paraId="7B2BC87F">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先进性原则：</w:t>
      </w:r>
      <w:bookmarkStart w:id="2" w:name="_Hlk126613618"/>
      <w:r>
        <w:rPr>
          <w:rFonts w:ascii="Times New Roman" w:hAnsi="Times New Roman" w:cs="Times New Roman"/>
          <w:lang w:eastAsia="zh-CN"/>
        </w:rPr>
        <w:t>本文件规定的相关内容目的在于</w:t>
      </w:r>
      <w:r>
        <w:rPr>
          <w:rFonts w:hint="eastAsia" w:ascii="Times New Roman" w:hAnsi="Times New Roman" w:cs="Times New Roman"/>
          <w:lang w:eastAsia="zh-CN"/>
        </w:rPr>
        <w:t>将现场气象、粉尘浓度数据与模式相结合，构建含水率和重点起尘区域识别管控双重喷淋决策机制，建立以智能喷淋决策控制子系统为核心的智能喷淋系统，并在我国典型干散货码头开展抑尘效果实测研究，突破干散货码头堆场传统技术应用局限、从根源上缓解堆场静态风蚀起尘问题</w:t>
      </w:r>
      <w:r>
        <w:rPr>
          <w:rFonts w:ascii="Times New Roman" w:hAnsi="Times New Roman" w:cs="Times New Roman"/>
          <w:lang w:eastAsia="zh-CN"/>
        </w:rPr>
        <w:t>。</w:t>
      </w:r>
    </w:p>
    <w:bookmarkEnd w:id="2"/>
    <w:p w14:paraId="765429A2">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根据以上原则，并结合</w:t>
      </w:r>
      <w:r>
        <w:rPr>
          <w:rFonts w:hint="eastAsia" w:ascii="Times New Roman" w:hAnsi="Times New Roman" w:cs="Times New Roman"/>
          <w:lang w:eastAsia="zh-CN"/>
        </w:rPr>
        <w:t>干散货码头露天堆场的智能喷淋抑尘系统建设需求，</w:t>
      </w:r>
      <w:r>
        <w:rPr>
          <w:rFonts w:ascii="Times New Roman" w:hAnsi="Times New Roman" w:cs="Times New Roman"/>
          <w:lang w:eastAsia="zh-CN"/>
        </w:rPr>
        <w:t>本文件制订的内容，主要侧重于干散货码头露天堆场</w:t>
      </w:r>
      <w:r>
        <w:rPr>
          <w:rFonts w:hint="eastAsia" w:ascii="Times New Roman" w:hAnsi="Times New Roman" w:cs="Times New Roman"/>
          <w:lang w:eastAsia="zh-CN"/>
        </w:rPr>
        <w:t>智能喷淋抑尘系统的系统构成、基本要求和技术要求</w:t>
      </w:r>
      <w:r>
        <w:rPr>
          <w:rFonts w:ascii="Times New Roman" w:hAnsi="Times New Roman" w:cs="Times New Roman"/>
          <w:lang w:eastAsia="zh-CN"/>
        </w:rPr>
        <w:t>，适用于</w:t>
      </w:r>
      <w:r>
        <w:rPr>
          <w:rFonts w:hint="eastAsia" w:ascii="Times New Roman" w:hAnsi="Times New Roman" w:cs="Times New Roman"/>
          <w:lang w:eastAsia="zh-CN"/>
        </w:rPr>
        <w:t>干散货码头露天堆场智能喷淋抑尘系统设计、建设和使用</w:t>
      </w:r>
      <w:r>
        <w:rPr>
          <w:rFonts w:ascii="Times New Roman" w:hAnsi="Times New Roman" w:cs="Times New Roman"/>
          <w:lang w:eastAsia="zh-CN"/>
        </w:rPr>
        <w:t>。</w:t>
      </w:r>
    </w:p>
    <w:p w14:paraId="27210F9E">
      <w:pPr>
        <w:spacing w:before="240" w:after="240"/>
        <w:ind w:left="607"/>
        <w:rPr>
          <w:rFonts w:ascii="Times New Roman" w:hAnsi="Times New Roman" w:cs="Times New Roman"/>
          <w:b/>
          <w:sz w:val="24"/>
          <w:szCs w:val="24"/>
          <w:lang w:eastAsia="zh-CN"/>
        </w:rPr>
      </w:pPr>
      <w:r>
        <w:rPr>
          <w:rFonts w:ascii="Times New Roman" w:hAnsi="Times New Roman" w:cs="Times New Roman"/>
          <w:b/>
          <w:sz w:val="24"/>
          <w:szCs w:val="24"/>
          <w:lang w:eastAsia="zh-CN"/>
        </w:rPr>
        <w:t>（二）确定标准主要内容的论据</w:t>
      </w:r>
    </w:p>
    <w:p w14:paraId="11989FBF">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本文件</w:t>
      </w:r>
      <w:bookmarkStart w:id="3" w:name="_Hlk126875798"/>
      <w:r>
        <w:rPr>
          <w:rFonts w:hint="eastAsia" w:ascii="Times New Roman" w:hAnsi="Times New Roman" w:cs="Times New Roman"/>
          <w:lang w:eastAsia="zh-CN"/>
        </w:rPr>
        <w:t>提供了干散货码头露天堆场智能喷淋抑尘系统的系统构成、基本要求和技术要求</w:t>
      </w:r>
      <w:r>
        <w:rPr>
          <w:rFonts w:ascii="Times New Roman" w:hAnsi="Times New Roman" w:cs="Times New Roman"/>
          <w:lang w:eastAsia="zh-CN"/>
        </w:rPr>
        <w:t>。</w:t>
      </w:r>
    </w:p>
    <w:bookmarkEnd w:id="3"/>
    <w:p w14:paraId="19549023">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本文件</w:t>
      </w:r>
      <w:r>
        <w:rPr>
          <w:rFonts w:hint="eastAsia" w:ascii="Times New Roman" w:hAnsi="Times New Roman" w:cs="Times New Roman"/>
          <w:lang w:eastAsia="zh-CN"/>
        </w:rPr>
        <w:t>适用于干散货码头露天堆场智能喷淋抑尘系统设计、建设和使用</w:t>
      </w:r>
      <w:r>
        <w:rPr>
          <w:rFonts w:ascii="Times New Roman" w:hAnsi="Times New Roman" w:cs="Times New Roman"/>
          <w:lang w:eastAsia="zh-CN"/>
        </w:rPr>
        <w:t>。</w:t>
      </w:r>
    </w:p>
    <w:p w14:paraId="268ED541">
      <w:pPr>
        <w:pStyle w:val="6"/>
        <w:spacing w:line="362" w:lineRule="auto"/>
        <w:ind w:left="609" w:right="632" w:firstLine="480"/>
        <w:jc w:val="both"/>
        <w:rPr>
          <w:rFonts w:ascii="Times New Roman" w:hAnsi="Times New Roman" w:cs="Times New Roman"/>
          <w:color w:val="0070C0"/>
          <w:lang w:eastAsia="zh-CN"/>
        </w:rPr>
      </w:pPr>
      <w:r>
        <w:rPr>
          <w:rFonts w:ascii="Times New Roman" w:hAnsi="Times New Roman" w:cs="Times New Roman"/>
          <w:lang w:eastAsia="zh-CN"/>
        </w:rPr>
        <w:t xml:space="preserve">本文件主要内容：第一章 范围；第二章 规范性引用文件；第三章 术语和定义；第四章 </w:t>
      </w:r>
      <w:r>
        <w:rPr>
          <w:rFonts w:hint="eastAsia" w:ascii="Times New Roman" w:hAnsi="Times New Roman" w:cs="Times New Roman"/>
          <w:lang w:eastAsia="zh-CN"/>
        </w:rPr>
        <w:t>系统构成；第五章 基本要求；第六章 技术要求</w:t>
      </w:r>
      <w:r>
        <w:rPr>
          <w:rFonts w:ascii="Times New Roman" w:hAnsi="Times New Roman" w:cs="Times New Roman"/>
          <w:color w:val="0070C0"/>
          <w:lang w:eastAsia="zh-CN"/>
        </w:rPr>
        <w:t>。</w:t>
      </w:r>
    </w:p>
    <w:p w14:paraId="2E77BAB1">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本标准制定的内容包括如下：</w:t>
      </w:r>
    </w:p>
    <w:p w14:paraId="639A2B17">
      <w:pPr>
        <w:pStyle w:val="19"/>
        <w:numPr>
          <w:ilvl w:val="0"/>
          <w:numId w:val="1"/>
        </w:numPr>
        <w:spacing w:before="164" w:after="120" w:afterLines="50"/>
        <w:ind w:left="1027"/>
        <w:rPr>
          <w:rFonts w:ascii="Times New Roman" w:hAnsi="Times New Roman" w:cs="Times New Roman"/>
          <w:b/>
          <w:w w:val="105"/>
          <w:sz w:val="23"/>
          <w:lang w:eastAsia="zh-CN"/>
        </w:rPr>
      </w:pPr>
      <w:r>
        <w:rPr>
          <w:rFonts w:ascii="Times New Roman" w:hAnsi="Times New Roman" w:cs="Times New Roman"/>
          <w:b/>
          <w:w w:val="105"/>
          <w:sz w:val="23"/>
          <w:lang w:eastAsia="zh-CN"/>
        </w:rPr>
        <w:t>第一章  范围</w:t>
      </w:r>
    </w:p>
    <w:p w14:paraId="626A5753">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本标准</w:t>
      </w:r>
      <w:r>
        <w:rPr>
          <w:rFonts w:hint="eastAsia" w:ascii="Times New Roman" w:hAnsi="Times New Roman" w:cs="Times New Roman"/>
          <w:lang w:eastAsia="zh-CN"/>
        </w:rPr>
        <w:t>提供了干散货码头露天堆场智能喷淋抑尘系统的系统构成、基本要求和技术要求</w:t>
      </w:r>
      <w:r>
        <w:rPr>
          <w:rFonts w:ascii="Times New Roman" w:hAnsi="Times New Roman" w:cs="Times New Roman"/>
          <w:lang w:eastAsia="zh-CN"/>
        </w:rPr>
        <w:t>。</w:t>
      </w:r>
      <w:r>
        <w:rPr>
          <w:rFonts w:hint="eastAsia" w:ascii="Times New Roman" w:hAnsi="Times New Roman" w:cs="Times New Roman"/>
          <w:lang w:eastAsia="zh-CN"/>
        </w:rPr>
        <w:t>本文件适用于干散货码头露天堆场智能喷淋抑尘系统设计、建设和使用。</w:t>
      </w:r>
      <w:r>
        <w:rPr>
          <w:rFonts w:ascii="Times New Roman" w:hAnsi="Times New Roman" w:cs="Times New Roman"/>
          <w:lang w:eastAsia="zh-CN"/>
        </w:rPr>
        <w:t>本标准的范围基于标准编写的主要目的进行界定。</w:t>
      </w:r>
    </w:p>
    <w:p w14:paraId="67AC3C84">
      <w:pPr>
        <w:pStyle w:val="19"/>
        <w:numPr>
          <w:ilvl w:val="0"/>
          <w:numId w:val="1"/>
        </w:numPr>
        <w:spacing w:before="164" w:after="120" w:afterLines="50"/>
        <w:ind w:left="1027"/>
        <w:rPr>
          <w:rFonts w:ascii="Times New Roman" w:hAnsi="Times New Roman" w:cs="Times New Roman"/>
          <w:b/>
          <w:w w:val="105"/>
          <w:sz w:val="23"/>
          <w:lang w:eastAsia="zh-CN"/>
        </w:rPr>
      </w:pPr>
      <w:r>
        <w:rPr>
          <w:rFonts w:ascii="Times New Roman" w:hAnsi="Times New Roman" w:cs="Times New Roman"/>
          <w:b/>
          <w:w w:val="105"/>
          <w:sz w:val="23"/>
          <w:lang w:eastAsia="zh-CN"/>
        </w:rPr>
        <w:t>第二章  规范性引用文件</w:t>
      </w:r>
    </w:p>
    <w:p w14:paraId="13AB0E50">
      <w:pPr>
        <w:spacing w:before="240" w:line="360" w:lineRule="auto"/>
        <w:ind w:left="612"/>
        <w:rPr>
          <w:rFonts w:ascii="Times New Roman" w:hAnsi="Times New Roman" w:cs="Times New Roman"/>
          <w:sz w:val="24"/>
          <w:szCs w:val="24"/>
          <w:lang w:eastAsia="zh-CN"/>
        </w:rPr>
      </w:pPr>
      <w:r>
        <w:rPr>
          <w:rFonts w:ascii="Times New Roman" w:hAnsi="Times New Roman" w:cs="Times New Roman"/>
          <w:sz w:val="24"/>
          <w:szCs w:val="24"/>
          <w:lang w:eastAsia="zh-CN"/>
        </w:rPr>
        <w:t>本标准引用了如下标准：</w:t>
      </w:r>
    </w:p>
    <w:p w14:paraId="22185E2E">
      <w:pPr>
        <w:spacing w:line="360" w:lineRule="auto"/>
        <w:ind w:left="612"/>
        <w:rPr>
          <w:rFonts w:ascii="Times New Roman" w:hAnsi="Times New Roman" w:cs="Times New Roman"/>
          <w:sz w:val="24"/>
          <w:szCs w:val="24"/>
          <w:lang w:eastAsia="zh-CN"/>
        </w:rPr>
      </w:pPr>
      <w:r>
        <w:rPr>
          <w:rFonts w:ascii="Times New Roman" w:hAnsi="Times New Roman" w:cs="Times New Roman"/>
          <w:sz w:val="24"/>
          <w:szCs w:val="24"/>
          <w:lang w:eastAsia="zh-CN"/>
        </w:rPr>
        <w:t>GB/T 8487</w:t>
      </w:r>
      <w:r>
        <w:rPr>
          <w:rFonts w:hint="eastAsia" w:ascii="Times New Roman" w:hAnsi="Times New Roman" w:cs="Times New Roman"/>
          <w:sz w:val="24"/>
          <w:szCs w:val="24"/>
          <w:lang w:eastAsia="zh-CN"/>
        </w:rPr>
        <w:tab/>
      </w:r>
      <w:r>
        <w:rPr>
          <w:rFonts w:ascii="Times New Roman" w:hAnsi="Times New Roman" w:cs="Times New Roman"/>
          <w:sz w:val="24"/>
          <w:szCs w:val="24"/>
          <w:lang w:eastAsia="zh-CN"/>
        </w:rPr>
        <w:t>港口装卸术语</w:t>
      </w:r>
    </w:p>
    <w:p w14:paraId="56B42AEC">
      <w:pPr>
        <w:spacing w:line="360" w:lineRule="auto"/>
        <w:ind w:left="612"/>
        <w:rPr>
          <w:rFonts w:ascii="Times New Roman" w:hAnsi="Times New Roman" w:cs="Times New Roman"/>
          <w:sz w:val="24"/>
          <w:szCs w:val="24"/>
          <w:lang w:eastAsia="zh-CN"/>
        </w:rPr>
      </w:pPr>
      <w:r>
        <w:rPr>
          <w:rFonts w:ascii="Times New Roman" w:hAnsi="Times New Roman" w:cs="Times New Roman"/>
          <w:sz w:val="24"/>
          <w:szCs w:val="24"/>
          <w:lang w:eastAsia="zh-CN"/>
        </w:rPr>
        <w:t xml:space="preserve">GB/T </w:t>
      </w:r>
      <w:r>
        <w:rPr>
          <w:rFonts w:hint="eastAsia" w:ascii="Times New Roman" w:hAnsi="Times New Roman" w:cs="Times New Roman"/>
          <w:sz w:val="24"/>
          <w:szCs w:val="24"/>
          <w:lang w:eastAsia="zh-CN"/>
        </w:rPr>
        <w:t>4208</w:t>
      </w:r>
      <w:r>
        <w:rPr>
          <w:rFonts w:hint="eastAsia" w:ascii="Times New Roman" w:hAnsi="Times New Roman" w:cs="Times New Roman"/>
          <w:sz w:val="24"/>
          <w:szCs w:val="24"/>
          <w:lang w:eastAsia="zh-CN"/>
        </w:rPr>
        <w:tab/>
      </w:r>
      <w:r>
        <w:rPr>
          <w:rFonts w:hint="eastAsia" w:ascii="Times New Roman" w:hAnsi="Times New Roman" w:cs="Times New Roman"/>
          <w:sz w:val="24"/>
          <w:szCs w:val="24"/>
          <w:lang w:eastAsia="zh-CN"/>
        </w:rPr>
        <w:t>外壳防护等级（IP代码）</w:t>
      </w:r>
    </w:p>
    <w:p w14:paraId="690794DD">
      <w:pPr>
        <w:spacing w:line="360" w:lineRule="auto"/>
        <w:ind w:left="612"/>
        <w:rPr>
          <w:rFonts w:ascii="Times New Roman" w:hAnsi="Times New Roman" w:cs="Times New Roman"/>
          <w:sz w:val="24"/>
          <w:szCs w:val="24"/>
          <w:lang w:eastAsia="zh-CN"/>
        </w:rPr>
      </w:pPr>
      <w:r>
        <w:rPr>
          <w:rFonts w:hint="eastAsia" w:ascii="Times New Roman" w:hAnsi="Times New Roman" w:cs="Times New Roman"/>
          <w:sz w:val="24"/>
          <w:szCs w:val="24"/>
          <w:lang w:eastAsia="zh-CN"/>
        </w:rPr>
        <w:t xml:space="preserve">GB/T 4798 </w:t>
      </w:r>
      <w:r>
        <w:rPr>
          <w:rFonts w:hint="eastAsia" w:ascii="Times New Roman" w:hAnsi="Times New Roman" w:cs="Times New Roman"/>
          <w:sz w:val="24"/>
          <w:szCs w:val="24"/>
          <w:lang w:eastAsia="zh-CN"/>
        </w:rPr>
        <w:tab/>
      </w:r>
      <w:r>
        <w:rPr>
          <w:rFonts w:hint="eastAsia" w:ascii="Times New Roman" w:hAnsi="Times New Roman" w:cs="Times New Roman"/>
          <w:sz w:val="24"/>
          <w:szCs w:val="24"/>
          <w:lang w:eastAsia="zh-CN"/>
        </w:rPr>
        <w:t>电工电子产品应用环境条件</w:t>
      </w:r>
    </w:p>
    <w:p w14:paraId="6EC6212A">
      <w:pPr>
        <w:spacing w:line="360" w:lineRule="auto"/>
        <w:ind w:left="612"/>
        <w:rPr>
          <w:rFonts w:ascii="Times New Roman" w:hAnsi="Times New Roman" w:cs="Times New Roman"/>
          <w:sz w:val="24"/>
          <w:szCs w:val="24"/>
          <w:lang w:eastAsia="zh-CN"/>
        </w:rPr>
      </w:pPr>
      <w:r>
        <w:rPr>
          <w:rFonts w:hint="eastAsia" w:ascii="Times New Roman" w:hAnsi="Times New Roman" w:cs="Times New Roman"/>
          <w:sz w:val="24"/>
          <w:szCs w:val="24"/>
          <w:lang w:eastAsia="zh-CN"/>
        </w:rPr>
        <w:t xml:space="preserve">GB/T 26806 </w:t>
      </w:r>
      <w:r>
        <w:rPr>
          <w:rFonts w:hint="eastAsia" w:ascii="Times New Roman" w:hAnsi="Times New Roman" w:cs="Times New Roman"/>
          <w:sz w:val="24"/>
          <w:szCs w:val="24"/>
          <w:lang w:eastAsia="zh-CN"/>
        </w:rPr>
        <w:tab/>
      </w:r>
      <w:r>
        <w:rPr>
          <w:rFonts w:hint="eastAsia" w:ascii="Times New Roman" w:hAnsi="Times New Roman" w:cs="Times New Roman"/>
          <w:sz w:val="24"/>
          <w:szCs w:val="24"/>
          <w:lang w:eastAsia="zh-CN"/>
        </w:rPr>
        <w:t>工业控制计算机系统 工业控制计算机基本平台</w:t>
      </w:r>
    </w:p>
    <w:p w14:paraId="02985CE6">
      <w:pPr>
        <w:spacing w:line="360" w:lineRule="auto"/>
        <w:ind w:left="612"/>
        <w:rPr>
          <w:rFonts w:ascii="Times New Roman" w:hAnsi="Times New Roman" w:cs="Times New Roman"/>
          <w:sz w:val="24"/>
          <w:szCs w:val="24"/>
          <w:lang w:eastAsia="zh-CN"/>
        </w:rPr>
      </w:pPr>
      <w:r>
        <w:rPr>
          <w:rFonts w:hint="eastAsia" w:ascii="Times New Roman" w:hAnsi="Times New Roman" w:cs="Times New Roman"/>
          <w:sz w:val="24"/>
          <w:szCs w:val="24"/>
          <w:lang w:eastAsia="zh-CN"/>
        </w:rPr>
        <w:t xml:space="preserve">GB/T 25070 </w:t>
      </w:r>
      <w:r>
        <w:rPr>
          <w:rFonts w:hint="eastAsia" w:ascii="Times New Roman" w:hAnsi="Times New Roman" w:cs="Times New Roman"/>
          <w:sz w:val="24"/>
          <w:szCs w:val="24"/>
          <w:lang w:eastAsia="zh-CN"/>
        </w:rPr>
        <w:tab/>
      </w:r>
      <w:r>
        <w:rPr>
          <w:rFonts w:hint="eastAsia" w:ascii="Times New Roman" w:hAnsi="Times New Roman" w:cs="Times New Roman"/>
          <w:sz w:val="24"/>
          <w:szCs w:val="24"/>
          <w:lang w:eastAsia="zh-CN"/>
        </w:rPr>
        <w:t>信息安全技术网络安全等级保护安全设计技术要求</w:t>
      </w:r>
    </w:p>
    <w:p w14:paraId="0D261F4B">
      <w:pPr>
        <w:spacing w:line="360" w:lineRule="auto"/>
        <w:ind w:left="612"/>
        <w:rPr>
          <w:rFonts w:ascii="Times New Roman" w:hAnsi="Times New Roman" w:cs="Times New Roman"/>
          <w:sz w:val="24"/>
          <w:szCs w:val="24"/>
          <w:lang w:eastAsia="zh-CN"/>
        </w:rPr>
      </w:pPr>
      <w:r>
        <w:rPr>
          <w:rFonts w:hint="eastAsia" w:ascii="Times New Roman" w:hAnsi="Times New Roman" w:cs="Times New Roman"/>
          <w:sz w:val="24"/>
          <w:szCs w:val="24"/>
          <w:lang w:eastAsia="zh-CN"/>
        </w:rPr>
        <w:t xml:space="preserve">GB/T 28181 </w:t>
      </w:r>
      <w:r>
        <w:rPr>
          <w:rFonts w:hint="eastAsia" w:ascii="Times New Roman" w:hAnsi="Times New Roman" w:cs="Times New Roman"/>
          <w:sz w:val="24"/>
          <w:szCs w:val="24"/>
          <w:lang w:eastAsia="zh-CN"/>
        </w:rPr>
        <w:tab/>
      </w:r>
      <w:r>
        <w:rPr>
          <w:rFonts w:hint="eastAsia" w:ascii="Times New Roman" w:hAnsi="Times New Roman" w:cs="Times New Roman"/>
          <w:sz w:val="24"/>
          <w:szCs w:val="24"/>
          <w:lang w:eastAsia="zh-CN"/>
        </w:rPr>
        <w:t>公共安全视频监控联网系统信息传输、交换、控制技术要求</w:t>
      </w:r>
    </w:p>
    <w:p w14:paraId="5D326E3E">
      <w:pPr>
        <w:spacing w:line="360" w:lineRule="auto"/>
        <w:ind w:left="612"/>
        <w:rPr>
          <w:rFonts w:ascii="Times New Roman" w:hAnsi="Times New Roman" w:cs="Times New Roman"/>
          <w:sz w:val="24"/>
          <w:szCs w:val="24"/>
          <w:lang w:eastAsia="zh-CN"/>
        </w:rPr>
      </w:pPr>
      <w:r>
        <w:rPr>
          <w:rFonts w:hint="eastAsia" w:ascii="Times New Roman" w:hAnsi="Times New Roman" w:cs="Times New Roman"/>
          <w:sz w:val="24"/>
          <w:szCs w:val="24"/>
          <w:lang w:eastAsia="zh-CN"/>
        </w:rPr>
        <w:t xml:space="preserve">GB/T 37025 </w:t>
      </w:r>
      <w:r>
        <w:rPr>
          <w:rFonts w:hint="eastAsia" w:ascii="Times New Roman" w:hAnsi="Times New Roman" w:cs="Times New Roman"/>
          <w:sz w:val="24"/>
          <w:szCs w:val="24"/>
          <w:lang w:eastAsia="zh-CN"/>
        </w:rPr>
        <w:tab/>
      </w:r>
      <w:r>
        <w:rPr>
          <w:rFonts w:hint="eastAsia" w:ascii="Times New Roman" w:hAnsi="Times New Roman" w:cs="Times New Roman"/>
          <w:sz w:val="24"/>
          <w:szCs w:val="24"/>
          <w:lang w:eastAsia="zh-CN"/>
        </w:rPr>
        <w:t>信息安全技术 物联网数据传输安全技术要求</w:t>
      </w:r>
    </w:p>
    <w:p w14:paraId="1A9E4751">
      <w:pPr>
        <w:spacing w:line="360" w:lineRule="auto"/>
        <w:ind w:left="612"/>
        <w:rPr>
          <w:rFonts w:ascii="Times New Roman" w:hAnsi="Times New Roman" w:cs="Times New Roman"/>
          <w:sz w:val="24"/>
          <w:szCs w:val="24"/>
          <w:lang w:eastAsia="zh-CN"/>
        </w:rPr>
      </w:pPr>
      <w:r>
        <w:rPr>
          <w:rFonts w:hint="eastAsia" w:ascii="Times New Roman" w:hAnsi="Times New Roman" w:cs="Times New Roman"/>
          <w:sz w:val="24"/>
          <w:szCs w:val="24"/>
          <w:lang w:eastAsia="zh-CN"/>
        </w:rPr>
        <w:t xml:space="preserve">GB/T </w:t>
      </w:r>
      <w:r>
        <w:rPr>
          <w:rFonts w:ascii="Times New Roman" w:hAnsi="Times New Roman" w:cs="Times New Roman"/>
          <w:sz w:val="24"/>
          <w:szCs w:val="24"/>
          <w:lang w:eastAsia="zh-CN"/>
        </w:rPr>
        <w:t>21028</w:t>
      </w:r>
      <w:r>
        <w:rPr>
          <w:rFonts w:hint="eastAsia" w:ascii="Times New Roman" w:hAnsi="Times New Roman" w:cs="Times New Roman"/>
          <w:sz w:val="24"/>
          <w:szCs w:val="24"/>
          <w:lang w:eastAsia="zh-CN"/>
        </w:rPr>
        <w:t xml:space="preserve"> </w:t>
      </w:r>
      <w:r>
        <w:rPr>
          <w:rFonts w:hint="eastAsia" w:ascii="Times New Roman" w:hAnsi="Times New Roman" w:cs="Times New Roman"/>
          <w:sz w:val="24"/>
          <w:szCs w:val="24"/>
          <w:lang w:eastAsia="zh-CN"/>
        </w:rPr>
        <w:tab/>
      </w:r>
      <w:r>
        <w:rPr>
          <w:rFonts w:hint="eastAsia" w:ascii="Times New Roman" w:hAnsi="Times New Roman" w:cs="Times New Roman"/>
          <w:sz w:val="24"/>
          <w:szCs w:val="24"/>
          <w:lang w:eastAsia="zh-CN"/>
        </w:rPr>
        <w:t>信息安全技术 服务器安全技术要求</w:t>
      </w:r>
    </w:p>
    <w:p w14:paraId="386A8DC8">
      <w:pPr>
        <w:spacing w:line="360" w:lineRule="auto"/>
        <w:ind w:left="612"/>
        <w:rPr>
          <w:rFonts w:ascii="Times New Roman" w:hAnsi="Times New Roman" w:cs="Times New Roman"/>
          <w:sz w:val="24"/>
          <w:szCs w:val="24"/>
          <w:lang w:eastAsia="zh-CN"/>
        </w:rPr>
      </w:pPr>
      <w:r>
        <w:rPr>
          <w:rFonts w:hint="eastAsia" w:ascii="Times New Roman" w:hAnsi="Times New Roman" w:cs="Times New Roman"/>
          <w:sz w:val="24"/>
          <w:szCs w:val="24"/>
          <w:lang w:eastAsia="zh-CN"/>
        </w:rPr>
        <w:t xml:space="preserve">GB/T </w:t>
      </w:r>
      <w:r>
        <w:rPr>
          <w:rFonts w:ascii="Times New Roman" w:hAnsi="Times New Roman" w:cs="Times New Roman"/>
          <w:sz w:val="24"/>
          <w:szCs w:val="24"/>
          <w:lang w:eastAsia="zh-CN"/>
        </w:rPr>
        <w:t>18920</w:t>
      </w:r>
      <w:r>
        <w:rPr>
          <w:rFonts w:hint="eastAsia" w:ascii="Times New Roman" w:hAnsi="Times New Roman" w:cs="Times New Roman"/>
          <w:sz w:val="24"/>
          <w:szCs w:val="24"/>
          <w:lang w:eastAsia="zh-CN"/>
        </w:rPr>
        <w:t xml:space="preserve"> </w:t>
      </w:r>
      <w:r>
        <w:rPr>
          <w:rFonts w:hint="eastAsia" w:ascii="Times New Roman" w:hAnsi="Times New Roman" w:cs="Times New Roman"/>
          <w:sz w:val="24"/>
          <w:szCs w:val="24"/>
          <w:lang w:eastAsia="zh-CN"/>
        </w:rPr>
        <w:tab/>
      </w:r>
      <w:r>
        <w:rPr>
          <w:rFonts w:hint="eastAsia" w:ascii="Times New Roman" w:hAnsi="Times New Roman" w:cs="Times New Roman"/>
          <w:sz w:val="24"/>
          <w:szCs w:val="24"/>
          <w:lang w:eastAsia="zh-CN"/>
        </w:rPr>
        <w:t>城市污水再生利用 城市杂用水水质</w:t>
      </w:r>
    </w:p>
    <w:p w14:paraId="2EFD899E">
      <w:pPr>
        <w:spacing w:line="360" w:lineRule="auto"/>
        <w:ind w:left="612"/>
        <w:rPr>
          <w:rFonts w:ascii="Times New Roman" w:hAnsi="Times New Roman" w:cs="Times New Roman"/>
          <w:sz w:val="24"/>
          <w:szCs w:val="24"/>
          <w:lang w:eastAsia="zh-CN"/>
        </w:rPr>
      </w:pPr>
      <w:r>
        <w:rPr>
          <w:rFonts w:hint="eastAsia" w:ascii="Times New Roman" w:hAnsi="Times New Roman" w:cs="Times New Roman"/>
          <w:sz w:val="24"/>
          <w:szCs w:val="24"/>
          <w:lang w:eastAsia="zh-CN"/>
        </w:rPr>
        <w:t>G</w:t>
      </w:r>
      <w:r>
        <w:rPr>
          <w:rFonts w:ascii="Times New Roman" w:hAnsi="Times New Roman" w:cs="Times New Roman"/>
          <w:sz w:val="24"/>
          <w:szCs w:val="24"/>
          <w:lang w:eastAsia="zh-CN"/>
        </w:rPr>
        <w:t>B 50265         泵站设计标准</w:t>
      </w:r>
    </w:p>
    <w:p w14:paraId="439AD349">
      <w:pPr>
        <w:spacing w:line="360" w:lineRule="auto"/>
        <w:ind w:left="612"/>
        <w:rPr>
          <w:rFonts w:ascii="Times New Roman" w:hAnsi="Times New Roman" w:cs="Times New Roman"/>
          <w:sz w:val="24"/>
          <w:szCs w:val="24"/>
          <w:lang w:eastAsia="zh-CN"/>
        </w:rPr>
      </w:pPr>
      <w:r>
        <w:rPr>
          <w:rFonts w:hint="eastAsia" w:ascii="Times New Roman" w:hAnsi="Times New Roman" w:cs="Times New Roman"/>
          <w:sz w:val="24"/>
          <w:szCs w:val="24"/>
          <w:lang w:eastAsia="zh-CN"/>
        </w:rPr>
        <w:t xml:space="preserve">GB 50259 </w:t>
      </w:r>
      <w:r>
        <w:rPr>
          <w:rFonts w:hint="eastAsia" w:ascii="Times New Roman" w:hAnsi="Times New Roman" w:cs="Times New Roman"/>
          <w:sz w:val="24"/>
          <w:szCs w:val="24"/>
          <w:lang w:eastAsia="zh-CN"/>
        </w:rPr>
        <w:tab/>
      </w:r>
      <w:r>
        <w:rPr>
          <w:rFonts w:hint="eastAsia" w:ascii="Times New Roman" w:hAnsi="Times New Roman" w:cs="Times New Roman"/>
          <w:sz w:val="24"/>
          <w:szCs w:val="24"/>
          <w:lang w:eastAsia="zh-CN"/>
        </w:rPr>
        <w:t>电气装置工程施工及验收规范</w:t>
      </w:r>
    </w:p>
    <w:p w14:paraId="6962F8EA">
      <w:pPr>
        <w:spacing w:line="360" w:lineRule="auto"/>
        <w:ind w:left="612"/>
        <w:rPr>
          <w:rFonts w:ascii="Times New Roman" w:hAnsi="Times New Roman" w:cs="Times New Roman"/>
          <w:sz w:val="24"/>
          <w:szCs w:val="24"/>
          <w:lang w:eastAsia="zh-CN"/>
        </w:rPr>
      </w:pPr>
      <w:r>
        <w:rPr>
          <w:rFonts w:ascii="Times New Roman" w:hAnsi="Times New Roman" w:cs="Times New Roman"/>
          <w:sz w:val="24"/>
          <w:szCs w:val="24"/>
          <w:lang w:eastAsia="zh-CN"/>
        </w:rPr>
        <w:t>GB 12158</w:t>
      </w:r>
      <w:r>
        <w:rPr>
          <w:rFonts w:hint="eastAsia" w:ascii="Times New Roman" w:hAnsi="Times New Roman" w:cs="Times New Roman"/>
          <w:sz w:val="24"/>
          <w:szCs w:val="24"/>
          <w:lang w:eastAsia="zh-CN" w:bidi="zh-TW"/>
        </w:rPr>
        <w:t xml:space="preserve"> </w:t>
      </w:r>
      <w:r>
        <w:rPr>
          <w:rFonts w:ascii="Times New Roman" w:hAnsi="Times New Roman" w:cs="Times New Roman"/>
          <w:sz w:val="24"/>
          <w:szCs w:val="24"/>
          <w:lang w:eastAsia="zh-CN" w:bidi="zh-TW"/>
        </w:rPr>
        <w:t xml:space="preserve">        防止静电事故通用导则</w:t>
      </w:r>
    </w:p>
    <w:p w14:paraId="7AF72B90">
      <w:pPr>
        <w:spacing w:line="360" w:lineRule="auto"/>
        <w:ind w:left="612"/>
        <w:rPr>
          <w:rFonts w:ascii="Times New Roman" w:hAnsi="Times New Roman" w:cs="Times New Roman"/>
          <w:sz w:val="24"/>
          <w:szCs w:val="24"/>
          <w:lang w:eastAsia="zh-CN"/>
        </w:rPr>
      </w:pPr>
      <w:r>
        <w:rPr>
          <w:rFonts w:ascii="Times New Roman" w:hAnsi="Times New Roman" w:cs="Times New Roman"/>
          <w:sz w:val="24"/>
          <w:szCs w:val="24"/>
          <w:lang w:eastAsia="zh-CN"/>
        </w:rPr>
        <w:t>HJ 1107</w:t>
      </w:r>
      <w:r>
        <w:rPr>
          <w:rFonts w:hint="eastAsia" w:ascii="Times New Roman" w:hAnsi="Times New Roman" w:cs="Times New Roman"/>
          <w:sz w:val="24"/>
          <w:szCs w:val="24"/>
          <w:lang w:eastAsia="zh-CN"/>
        </w:rPr>
        <w:t xml:space="preserve"> </w:t>
      </w:r>
      <w:r>
        <w:rPr>
          <w:rFonts w:hint="eastAsia" w:ascii="Times New Roman" w:hAnsi="Times New Roman" w:cs="Times New Roman"/>
          <w:sz w:val="24"/>
          <w:szCs w:val="24"/>
          <w:lang w:eastAsia="zh-CN"/>
        </w:rPr>
        <w:tab/>
      </w:r>
      <w:r>
        <w:rPr>
          <w:rFonts w:ascii="Times New Roman" w:hAnsi="Times New Roman" w:cs="Times New Roman"/>
          <w:sz w:val="24"/>
          <w:szCs w:val="24"/>
          <w:lang w:eastAsia="zh-CN"/>
        </w:rPr>
        <w:t>排污许可证申请与核发技术规范 码头</w:t>
      </w:r>
    </w:p>
    <w:p w14:paraId="05AFAEDE">
      <w:pPr>
        <w:spacing w:line="360" w:lineRule="auto"/>
        <w:ind w:left="612"/>
        <w:rPr>
          <w:rFonts w:ascii="Times New Roman" w:hAnsi="Times New Roman" w:cs="Times New Roman"/>
          <w:sz w:val="24"/>
          <w:szCs w:val="24"/>
          <w:lang w:eastAsia="zh-CN"/>
        </w:rPr>
      </w:pPr>
      <w:r>
        <w:rPr>
          <w:rFonts w:ascii="Times New Roman" w:hAnsi="Times New Roman" w:cs="Times New Roman"/>
          <w:sz w:val="24"/>
          <w:szCs w:val="24"/>
          <w:lang w:eastAsia="zh-CN"/>
        </w:rPr>
        <w:t>HJ 944              排污单位</w:t>
      </w:r>
      <w:r>
        <w:rPr>
          <w:rFonts w:hint="eastAsia" w:ascii="Times New Roman" w:hAnsi="Times New Roman" w:cs="Times New Roman"/>
          <w:sz w:val="24"/>
          <w:szCs w:val="24"/>
          <w:lang w:eastAsia="zh-CN"/>
        </w:rPr>
        <w:t>环境管理台账及排污许可证执行报告技术规范  总则（试行）</w:t>
      </w:r>
    </w:p>
    <w:p w14:paraId="27CE3631">
      <w:pPr>
        <w:spacing w:line="360" w:lineRule="auto"/>
        <w:ind w:left="612"/>
        <w:rPr>
          <w:rFonts w:ascii="Times New Roman" w:hAnsi="Times New Roman" w:cs="Times New Roman"/>
          <w:sz w:val="24"/>
          <w:szCs w:val="24"/>
          <w:lang w:eastAsia="zh-CN"/>
        </w:rPr>
      </w:pPr>
      <w:r>
        <w:rPr>
          <w:rFonts w:hint="eastAsia" w:ascii="Times New Roman" w:hAnsi="Times New Roman" w:cs="Times New Roman"/>
          <w:sz w:val="24"/>
          <w:szCs w:val="24"/>
          <w:lang w:eastAsia="zh-CN"/>
        </w:rPr>
        <w:t>H</w:t>
      </w:r>
      <w:r>
        <w:rPr>
          <w:rFonts w:ascii="Times New Roman" w:hAnsi="Times New Roman" w:cs="Times New Roman"/>
          <w:sz w:val="24"/>
          <w:szCs w:val="24"/>
          <w:lang w:eastAsia="zh-CN"/>
        </w:rPr>
        <w:t xml:space="preserve">J 212              </w:t>
      </w:r>
      <w:r>
        <w:rPr>
          <w:rFonts w:hint="eastAsia" w:ascii="Times New Roman" w:hAnsi="Times New Roman" w:cs="Times New Roman"/>
          <w:sz w:val="24"/>
          <w:szCs w:val="24"/>
          <w:lang w:eastAsia="zh-CN" w:bidi="zh-TW"/>
        </w:rPr>
        <w:t>污染物在线监控（监测）系统数据传输标准</w:t>
      </w:r>
    </w:p>
    <w:p w14:paraId="10C5D85A">
      <w:pPr>
        <w:spacing w:line="360" w:lineRule="auto"/>
        <w:ind w:left="612"/>
        <w:rPr>
          <w:rFonts w:ascii="Times New Roman" w:hAnsi="Times New Roman" w:cs="Times New Roman"/>
          <w:sz w:val="24"/>
          <w:szCs w:val="24"/>
          <w:lang w:eastAsia="zh-CN"/>
        </w:rPr>
      </w:pPr>
      <w:r>
        <w:rPr>
          <w:rFonts w:ascii="Times New Roman" w:hAnsi="Times New Roman" w:cs="Times New Roman"/>
          <w:sz w:val="24"/>
          <w:szCs w:val="24"/>
          <w:lang w:eastAsia="zh-CN"/>
        </w:rPr>
        <w:t>JTS 149</w:t>
      </w:r>
      <w:r>
        <w:rPr>
          <w:rFonts w:hint="eastAsia" w:ascii="Times New Roman" w:hAnsi="Times New Roman" w:cs="Times New Roman"/>
          <w:sz w:val="24"/>
          <w:szCs w:val="24"/>
          <w:lang w:eastAsia="zh-CN"/>
        </w:rPr>
        <w:t xml:space="preserve"> </w:t>
      </w:r>
      <w:r>
        <w:rPr>
          <w:rFonts w:ascii="Times New Roman" w:hAnsi="Times New Roman" w:cs="Times New Roman"/>
          <w:sz w:val="24"/>
          <w:szCs w:val="24"/>
          <w:lang w:eastAsia="zh-CN"/>
        </w:rPr>
        <w:tab/>
      </w:r>
      <w:r>
        <w:rPr>
          <w:rFonts w:ascii="Times New Roman" w:hAnsi="Times New Roman" w:cs="Times New Roman"/>
          <w:sz w:val="24"/>
          <w:szCs w:val="24"/>
          <w:lang w:eastAsia="zh-CN"/>
        </w:rPr>
        <w:t>水运工程环境保护设计规范</w:t>
      </w:r>
    </w:p>
    <w:p w14:paraId="6826B525">
      <w:pPr>
        <w:spacing w:line="360" w:lineRule="auto"/>
        <w:ind w:left="612"/>
        <w:rPr>
          <w:rFonts w:ascii="Times New Roman" w:hAnsi="Times New Roman" w:cs="Times New Roman"/>
          <w:sz w:val="24"/>
          <w:szCs w:val="24"/>
          <w:lang w:eastAsia="zh-CN"/>
        </w:rPr>
      </w:pPr>
      <w:r>
        <w:rPr>
          <w:rFonts w:ascii="Times New Roman" w:hAnsi="Times New Roman" w:cs="Times New Roman"/>
          <w:sz w:val="24"/>
          <w:szCs w:val="24"/>
          <w:lang w:eastAsia="zh-CN"/>
        </w:rPr>
        <w:t>JTS 156</w:t>
      </w:r>
      <w:r>
        <w:rPr>
          <w:rFonts w:hint="eastAsia" w:ascii="Times New Roman" w:hAnsi="Times New Roman" w:cs="Times New Roman"/>
          <w:sz w:val="24"/>
          <w:szCs w:val="24"/>
          <w:lang w:eastAsia="zh-CN"/>
        </w:rPr>
        <w:t xml:space="preserve"> </w:t>
      </w:r>
      <w:r>
        <w:rPr>
          <w:rFonts w:ascii="Times New Roman" w:hAnsi="Times New Roman" w:cs="Times New Roman"/>
          <w:sz w:val="24"/>
          <w:szCs w:val="24"/>
          <w:lang w:eastAsia="zh-CN"/>
        </w:rPr>
        <w:tab/>
      </w:r>
      <w:r>
        <w:rPr>
          <w:rFonts w:ascii="Times New Roman" w:hAnsi="Times New Roman" w:cs="Times New Roman"/>
          <w:sz w:val="24"/>
          <w:szCs w:val="24"/>
          <w:lang w:eastAsia="zh-CN"/>
        </w:rPr>
        <w:t>煤炭矿石码头粉尘控制设计规范</w:t>
      </w:r>
    </w:p>
    <w:p w14:paraId="2FF7075E">
      <w:pPr>
        <w:spacing w:line="360" w:lineRule="auto"/>
        <w:ind w:left="612"/>
        <w:rPr>
          <w:rFonts w:ascii="Times New Roman" w:hAnsi="Times New Roman" w:cs="Times New Roman"/>
          <w:sz w:val="24"/>
          <w:szCs w:val="24"/>
          <w:lang w:eastAsia="zh-CN"/>
        </w:rPr>
      </w:pPr>
    </w:p>
    <w:p w14:paraId="2F7F14A1">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其中</w:t>
      </w:r>
      <w:r>
        <w:rPr>
          <w:rFonts w:hint="eastAsia" w:ascii="Times New Roman" w:hAnsi="Times New Roman" w:cs="Times New Roman"/>
          <w:lang w:eastAsia="zh-CN"/>
        </w:rPr>
        <w:t xml:space="preserve"> </w:t>
      </w:r>
      <w:r>
        <w:rPr>
          <w:rFonts w:ascii="Times New Roman" w:hAnsi="Times New Roman" w:cs="Times New Roman"/>
          <w:lang w:eastAsia="zh-CN"/>
        </w:rPr>
        <w:t>GB/T 8487 界定了本文所使用的相关术语</w:t>
      </w:r>
      <w:r>
        <w:rPr>
          <w:rFonts w:hint="eastAsia" w:ascii="Times New Roman" w:hAnsi="Times New Roman" w:cs="Times New Roman"/>
          <w:lang w:eastAsia="zh-CN"/>
        </w:rPr>
        <w:t xml:space="preserve">，GB/T </w:t>
      </w:r>
      <w:r>
        <w:rPr>
          <w:rFonts w:ascii="Times New Roman" w:hAnsi="Times New Roman" w:cs="Times New Roman"/>
          <w:lang w:eastAsia="zh-CN"/>
        </w:rPr>
        <w:t>18920</w:t>
      </w:r>
      <w:r>
        <w:rPr>
          <w:rFonts w:hint="eastAsia" w:ascii="Times New Roman" w:hAnsi="Times New Roman" w:cs="Times New Roman"/>
          <w:lang w:eastAsia="zh-CN"/>
        </w:rPr>
        <w:t>对城市杂用水水质提出了限值要求，</w:t>
      </w:r>
      <w:r>
        <w:rPr>
          <w:rFonts w:ascii="Times New Roman" w:hAnsi="Times New Roman" w:cs="Times New Roman"/>
          <w:lang w:eastAsia="zh-CN"/>
        </w:rPr>
        <w:t>GB 50265</w:t>
      </w:r>
      <w:r>
        <w:rPr>
          <w:rFonts w:hint="eastAsia" w:ascii="Times New Roman" w:hAnsi="Times New Roman" w:cs="Times New Roman"/>
          <w:lang w:eastAsia="zh-CN"/>
        </w:rPr>
        <w:t>提出了供水系统设计、出水管道设计、出水池和压力水箱设计以及水利监测系统设计等相关要求，</w:t>
      </w:r>
      <w:r>
        <w:rPr>
          <w:rFonts w:ascii="Times New Roman" w:hAnsi="Times New Roman" w:cs="Times New Roman"/>
          <w:lang w:eastAsia="zh-CN"/>
        </w:rPr>
        <w:t>GB 12158</w:t>
      </w:r>
      <w:r>
        <w:rPr>
          <w:rFonts w:hint="eastAsia" w:ascii="Times New Roman" w:hAnsi="Times New Roman" w:cs="Times New Roman"/>
          <w:lang w:eastAsia="zh-CN"/>
        </w:rPr>
        <w:t>提出了电气设备保护等相关要求，</w:t>
      </w:r>
      <w:r>
        <w:rPr>
          <w:rFonts w:ascii="Times New Roman" w:hAnsi="Times New Roman" w:cs="Times New Roman"/>
          <w:lang w:eastAsia="zh-CN"/>
        </w:rPr>
        <w:t>GB 50259</w:t>
      </w:r>
      <w:r>
        <w:rPr>
          <w:rFonts w:hint="eastAsia" w:ascii="Times New Roman" w:hAnsi="Times New Roman" w:cs="Times New Roman"/>
          <w:lang w:eastAsia="zh-CN"/>
        </w:rPr>
        <w:t>提出了电气设备保护等相关要求，</w:t>
      </w:r>
      <w:r>
        <w:rPr>
          <w:rFonts w:ascii="Times New Roman" w:hAnsi="Times New Roman" w:cs="Times New Roman"/>
          <w:lang w:eastAsia="zh-CN"/>
        </w:rPr>
        <w:t>GB 12158</w:t>
      </w:r>
      <w:r>
        <w:rPr>
          <w:rFonts w:hint="eastAsia" w:ascii="Times New Roman" w:hAnsi="Times New Roman" w:cs="Times New Roman"/>
          <w:lang w:eastAsia="zh-CN"/>
        </w:rPr>
        <w:t>提出了静电防护等相关要求，</w:t>
      </w:r>
      <w:r>
        <w:rPr>
          <w:rFonts w:ascii="Times New Roman" w:hAnsi="Times New Roman" w:cs="Times New Roman"/>
          <w:lang w:eastAsia="zh-CN"/>
        </w:rPr>
        <w:t>GB/T 25070</w:t>
      </w:r>
      <w:r>
        <w:rPr>
          <w:rFonts w:hint="eastAsia" w:ascii="Times New Roman" w:hAnsi="Times New Roman" w:cs="Times New Roman"/>
          <w:lang w:eastAsia="zh-CN"/>
        </w:rPr>
        <w:t>提出了网络传输相关要求，</w:t>
      </w:r>
      <w:r>
        <w:rPr>
          <w:rFonts w:ascii="Times New Roman" w:hAnsi="Times New Roman" w:cs="Times New Roman"/>
          <w:lang w:eastAsia="zh-CN"/>
        </w:rPr>
        <w:t xml:space="preserve"> GB/T 37025</w:t>
      </w:r>
      <w:r>
        <w:rPr>
          <w:rFonts w:hint="eastAsia" w:ascii="Times New Roman" w:hAnsi="Times New Roman" w:cs="Times New Roman"/>
          <w:lang w:eastAsia="zh-CN"/>
        </w:rPr>
        <w:t>提出了数据传输相关要求，H</w:t>
      </w:r>
      <w:r>
        <w:rPr>
          <w:rFonts w:ascii="Times New Roman" w:hAnsi="Times New Roman" w:cs="Times New Roman"/>
          <w:lang w:eastAsia="zh-CN"/>
        </w:rPr>
        <w:t>J212</w:t>
      </w:r>
      <w:r>
        <w:rPr>
          <w:rFonts w:hint="eastAsia" w:ascii="Times New Roman" w:hAnsi="Times New Roman" w:cs="Times New Roman"/>
          <w:lang w:eastAsia="zh-CN"/>
        </w:rPr>
        <w:t>提出了污染物在线监控（监测）系统数据传输的相关要求，</w:t>
      </w:r>
      <w:r>
        <w:rPr>
          <w:rFonts w:ascii="Times New Roman" w:hAnsi="Times New Roman" w:cs="Times New Roman"/>
          <w:lang w:eastAsia="zh-CN"/>
        </w:rPr>
        <w:t>HJ 944</w:t>
      </w:r>
      <w:r>
        <w:rPr>
          <w:rFonts w:hint="eastAsia" w:ascii="Times New Roman" w:hAnsi="Times New Roman" w:cs="Times New Roman"/>
          <w:lang w:eastAsia="zh-CN"/>
        </w:rPr>
        <w:t>、</w:t>
      </w:r>
      <w:r>
        <w:rPr>
          <w:rFonts w:ascii="Times New Roman" w:hAnsi="Times New Roman" w:cs="Times New Roman"/>
          <w:lang w:eastAsia="zh-CN"/>
        </w:rPr>
        <w:t xml:space="preserve"> HJ 1107</w:t>
      </w:r>
      <w:r>
        <w:rPr>
          <w:rFonts w:hint="eastAsia" w:ascii="Times New Roman" w:hAnsi="Times New Roman" w:cs="Times New Roman"/>
          <w:lang w:eastAsia="zh-CN"/>
        </w:rPr>
        <w:t>提出了</w:t>
      </w:r>
      <w:r>
        <w:rPr>
          <w:rFonts w:ascii="Times New Roman" w:hAnsi="Times New Roman" w:cs="Times New Roman"/>
          <w:lang w:eastAsia="zh-CN"/>
        </w:rPr>
        <w:t>排污单位污染防治设施运行管理信息记录要求</w:t>
      </w:r>
      <w:r>
        <w:rPr>
          <w:rFonts w:hint="eastAsia" w:ascii="Times New Roman" w:hAnsi="Times New Roman" w:cs="Times New Roman"/>
          <w:lang w:eastAsia="zh-CN"/>
        </w:rPr>
        <w:t>。</w:t>
      </w:r>
    </w:p>
    <w:p w14:paraId="16FD867D">
      <w:pPr>
        <w:pStyle w:val="19"/>
        <w:numPr>
          <w:ilvl w:val="0"/>
          <w:numId w:val="1"/>
        </w:numPr>
        <w:spacing w:before="164" w:after="120" w:afterLines="50"/>
        <w:ind w:left="1027"/>
        <w:rPr>
          <w:rFonts w:ascii="Times New Roman" w:hAnsi="Times New Roman" w:cs="Times New Roman"/>
          <w:b/>
          <w:w w:val="105"/>
          <w:sz w:val="23"/>
          <w:lang w:eastAsia="zh-CN"/>
        </w:rPr>
      </w:pPr>
      <w:bookmarkStart w:id="4" w:name="3.第三章__术语和定义、缩略语"/>
      <w:bookmarkEnd w:id="4"/>
      <w:r>
        <w:rPr>
          <w:rFonts w:ascii="Times New Roman" w:hAnsi="Times New Roman" w:cs="Times New Roman"/>
          <w:b/>
          <w:w w:val="105"/>
          <w:sz w:val="23"/>
          <w:lang w:eastAsia="zh-CN"/>
        </w:rPr>
        <w:t>第三章  术语和定义</w:t>
      </w:r>
    </w:p>
    <w:p w14:paraId="0D578058">
      <w:pPr>
        <w:pStyle w:val="6"/>
        <w:spacing w:line="362" w:lineRule="auto"/>
        <w:ind w:left="609" w:right="632" w:firstLine="480"/>
        <w:jc w:val="both"/>
        <w:rPr>
          <w:rFonts w:ascii="Times New Roman" w:hAnsi="Times New Roman" w:cs="Times New Roman"/>
          <w:lang w:eastAsia="zh-CN"/>
        </w:rPr>
      </w:pPr>
      <w:bookmarkStart w:id="5" w:name="该部分主要阐述了在远程控制的岸边集装箱起重机在操作过程中所涉及的相关术语，除了引"/>
      <w:bookmarkEnd w:id="5"/>
      <w:r>
        <w:rPr>
          <w:rFonts w:ascii="Times New Roman" w:hAnsi="Times New Roman" w:cs="Times New Roman"/>
          <w:lang w:eastAsia="zh-CN"/>
        </w:rPr>
        <w:t>该部分主要阐述了在干散货码头露天堆场智能喷淋</w:t>
      </w:r>
      <w:r>
        <w:rPr>
          <w:rFonts w:hint="eastAsia" w:ascii="Times New Roman" w:hAnsi="Times New Roman" w:cs="Times New Roman"/>
          <w:lang w:eastAsia="zh-CN"/>
        </w:rPr>
        <w:t>抑尘</w:t>
      </w:r>
      <w:r>
        <w:rPr>
          <w:rFonts w:ascii="Times New Roman" w:hAnsi="Times New Roman" w:cs="Times New Roman"/>
          <w:lang w:eastAsia="zh-CN"/>
        </w:rPr>
        <w:t>系统设计、建设和使用过程中所涉及的相关术语，除了引用 GB/T 8487界定的相关术语外，本文件还定义了“干散货粒度”、“喷淋强度”、“抑尘有效时间”、“喷淋有效距离”、“喷淋有效摆角”。其中“干散货粒度”是本文中所规定的用于区分干散货货种颗粒大小的定义，指</w:t>
      </w:r>
      <w:r>
        <w:rPr>
          <w:rFonts w:ascii="Times New Roman" w:hAnsi="Times New Roman" w:cs="Times New Roman"/>
          <w:lang w:eastAsia="zh-CN" w:bidi="zh-TW"/>
        </w:rPr>
        <w:t>通过筛分试验获得的干散货货种的颗粒大小。</w:t>
      </w:r>
      <w:r>
        <w:rPr>
          <w:rFonts w:ascii="Times New Roman" w:hAnsi="Times New Roman" w:cs="Times New Roman"/>
          <w:lang w:eastAsia="zh-CN"/>
        </w:rPr>
        <w:t>“喷洒强度”是本文中所规定的用于表示单位料堆面积喷洒水的量的定义，单位为 L/m</w:t>
      </w:r>
      <w:r>
        <w:rPr>
          <w:rFonts w:ascii="Times New Roman" w:hAnsi="Times New Roman" w:cs="Times New Roman"/>
          <w:vertAlign w:val="superscript"/>
          <w:lang w:eastAsia="zh-CN"/>
        </w:rPr>
        <w:t>2</w:t>
      </w:r>
      <w:r>
        <w:rPr>
          <w:rFonts w:ascii="Times New Roman" w:hAnsi="Times New Roman" w:cs="Times New Roman"/>
          <w:lang w:eastAsia="zh-CN"/>
        </w:rPr>
        <w:t>。 “抑尘有效时间”是本文中所规定的用于表示干散货堆垛喷淋作业后，能够有效阻止细小颗粒在风力作用下逸散形成扬尘的时长的定义。“喷淋有效距离”是本文中所规定的用于表示喷淋系统喷枪喷淋作业的有效覆盖距离，单位为m。“喷淋有效摆角”是本文中所规定的用于表示喷淋系统喷枪或喷枪组喷淋作业的有效喷淋摆角，单位为度。</w:t>
      </w:r>
    </w:p>
    <w:p w14:paraId="0D6105A1">
      <w:pPr>
        <w:pStyle w:val="19"/>
        <w:numPr>
          <w:ilvl w:val="0"/>
          <w:numId w:val="1"/>
        </w:numPr>
        <w:spacing w:before="164" w:after="120" w:afterLines="50"/>
        <w:ind w:left="1027"/>
        <w:rPr>
          <w:rFonts w:ascii="Times New Roman" w:hAnsi="Times New Roman" w:cs="Times New Roman"/>
          <w:b/>
          <w:w w:val="105"/>
          <w:sz w:val="23"/>
          <w:lang w:eastAsia="zh-CN"/>
        </w:rPr>
      </w:pPr>
      <w:bookmarkStart w:id="6" w:name="4.第四章_一般要求"/>
      <w:bookmarkEnd w:id="6"/>
      <w:r>
        <w:rPr>
          <w:rFonts w:ascii="Times New Roman" w:hAnsi="Times New Roman" w:cs="Times New Roman"/>
          <w:b/>
          <w:w w:val="105"/>
          <w:sz w:val="23"/>
          <w:lang w:eastAsia="zh-CN"/>
        </w:rPr>
        <w:t xml:space="preserve">第四章  </w:t>
      </w:r>
      <w:r>
        <w:rPr>
          <w:rFonts w:hint="eastAsia" w:ascii="Times New Roman" w:hAnsi="Times New Roman" w:cs="Times New Roman"/>
          <w:b/>
          <w:w w:val="105"/>
          <w:sz w:val="23"/>
          <w:lang w:eastAsia="zh-CN"/>
        </w:rPr>
        <w:t>系统构成</w:t>
      </w:r>
    </w:p>
    <w:p w14:paraId="4ADC90A2">
      <w:pPr>
        <w:pStyle w:val="6"/>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该部分主要规定了干散货码头露天堆场智能喷淋抑尘系统的功能构成和基本配置要求，并给出了系统功能架构示意图和基本配置要求表。智能喷淋系统主要包括</w:t>
      </w:r>
      <w:r>
        <w:rPr>
          <w:rFonts w:ascii="Times New Roman" w:hAnsi="Times New Roman" w:cs="Times New Roman"/>
          <w:lang w:eastAsia="zh-CN"/>
        </w:rPr>
        <w:t>7</w:t>
      </w:r>
      <w:r>
        <w:rPr>
          <w:rFonts w:hint="eastAsia" w:ascii="Times New Roman" w:hAnsi="Times New Roman" w:cs="Times New Roman"/>
          <w:lang w:eastAsia="zh-CN"/>
        </w:rPr>
        <w:t>个子系统，分别为环境信息采集子系统、机械运行信息采集子系统、堆垛信息采集子系统、模型计算决策子系统、实时监控子系统、执行机构子系统和远程查询子系统，其中环境信息采集子系统、堆垛信息采集子系统、模型计算决策子系统、实时监控子系统、执行机构子系统为必选模块，机械运行信息采集子系统、远程查询子系统为可选模块。</w:t>
      </w:r>
    </w:p>
    <w:p w14:paraId="6B489646">
      <w:pPr>
        <w:pStyle w:val="19"/>
        <w:numPr>
          <w:ilvl w:val="0"/>
          <w:numId w:val="1"/>
        </w:numPr>
        <w:spacing w:before="164" w:after="120" w:afterLines="50"/>
        <w:ind w:left="1027"/>
        <w:rPr>
          <w:rFonts w:ascii="Times New Roman" w:hAnsi="Times New Roman" w:cs="Times New Roman"/>
          <w:b/>
          <w:w w:val="105"/>
          <w:sz w:val="23"/>
          <w:lang w:eastAsia="zh-CN"/>
        </w:rPr>
      </w:pPr>
      <w:r>
        <w:rPr>
          <w:rFonts w:hint="eastAsia" w:ascii="Times New Roman" w:hAnsi="Times New Roman" w:cs="Times New Roman"/>
          <w:b/>
          <w:w w:val="105"/>
          <w:sz w:val="23"/>
          <w:lang w:eastAsia="zh-CN"/>
        </w:rPr>
        <w:t>第五章 基本要求</w:t>
      </w:r>
    </w:p>
    <w:p w14:paraId="0A43D77C">
      <w:pPr>
        <w:pStyle w:val="6"/>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该部分主要规定了干散货码头露天堆场智能喷淋抑尘系统的基本要求，包括一般要求、硬件要求和软件要求。</w:t>
      </w:r>
    </w:p>
    <w:p w14:paraId="02A88CA0">
      <w:pPr>
        <w:pStyle w:val="6"/>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一般要求中规定了喷淋系统用水来源、水质限值、喷淋系统启动情形、应急预案要求、环境管理台账要求等，其中用水来源和堆场表面含水率要求参照了</w:t>
      </w:r>
      <w:r>
        <w:rPr>
          <w:rFonts w:ascii="Times New Roman" w:hAnsi="Times New Roman" w:cs="Times New Roman"/>
          <w:lang w:eastAsia="zh-CN"/>
        </w:rPr>
        <w:t>JTS 156 中</w:t>
      </w:r>
      <w:r>
        <w:rPr>
          <w:rFonts w:hint="eastAsia" w:ascii="Times New Roman" w:hAnsi="Times New Roman" w:cs="Times New Roman"/>
          <w:lang w:eastAsia="zh-CN"/>
        </w:rPr>
        <w:t>相关要求，网络传输等要求参照了</w:t>
      </w:r>
      <w:r>
        <w:rPr>
          <w:rFonts w:ascii="Times New Roman" w:hAnsi="Times New Roman" w:cs="Times New Roman"/>
          <w:lang w:eastAsia="zh-CN"/>
        </w:rPr>
        <w:t>GB/T 25070</w:t>
      </w:r>
      <w:r>
        <w:rPr>
          <w:rFonts w:hint="eastAsia" w:ascii="Times New Roman" w:hAnsi="Times New Roman" w:cs="Times New Roman"/>
          <w:lang w:eastAsia="zh-CN"/>
        </w:rPr>
        <w:t>中相关规定，智能喷淋作业纳入环境管理台账的要求参照了</w:t>
      </w:r>
      <w:r>
        <w:rPr>
          <w:rFonts w:ascii="Times New Roman" w:hAnsi="Times New Roman" w:cs="Times New Roman"/>
          <w:lang w:eastAsia="zh-CN"/>
        </w:rPr>
        <w:t>HJ 1107 和 HJ 944 中关于排污单位环境管理台账的相关要求</w:t>
      </w:r>
      <w:r>
        <w:rPr>
          <w:rFonts w:hint="eastAsia" w:ascii="Times New Roman" w:hAnsi="Times New Roman" w:cs="Times New Roman"/>
          <w:lang w:eastAsia="zh-CN"/>
        </w:rPr>
        <w:t>。</w:t>
      </w:r>
    </w:p>
    <w:p w14:paraId="1CB20294">
      <w:pPr>
        <w:pStyle w:val="6"/>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硬件要求规定了智能喷淋抑尘系统的设备防护要求、安全要求、系统布设要求、总线控制要求、设施基本配置要求和在线监测设备基本要求等，其中智能喷淋抑尘系统设计要求参照了</w:t>
      </w:r>
      <w:r>
        <w:rPr>
          <w:rFonts w:ascii="Times New Roman" w:hAnsi="Times New Roman" w:cs="Times New Roman"/>
          <w:lang w:eastAsia="zh-CN"/>
        </w:rPr>
        <w:t>GB 50265</w:t>
      </w:r>
      <w:r>
        <w:rPr>
          <w:rFonts w:hint="eastAsia" w:ascii="Times New Roman" w:hAnsi="Times New Roman" w:cs="Times New Roman"/>
          <w:lang w:eastAsia="zh-CN"/>
        </w:rPr>
        <w:t>中相关要求，电气设备保护要求参照了</w:t>
      </w:r>
      <w:r>
        <w:rPr>
          <w:rFonts w:ascii="Times New Roman" w:hAnsi="Times New Roman" w:cs="Times New Roman"/>
          <w:lang w:eastAsia="zh-CN"/>
        </w:rPr>
        <w:t>GB 50259</w:t>
      </w:r>
      <w:r>
        <w:rPr>
          <w:rFonts w:hint="eastAsia" w:ascii="Times New Roman" w:hAnsi="Times New Roman" w:cs="Times New Roman"/>
          <w:lang w:eastAsia="zh-CN"/>
        </w:rPr>
        <w:t>中的相关要求，静电防护要求参照了G</w:t>
      </w:r>
      <w:r>
        <w:rPr>
          <w:rFonts w:ascii="Times New Roman" w:hAnsi="Times New Roman" w:cs="Times New Roman"/>
          <w:lang w:eastAsia="zh-CN"/>
        </w:rPr>
        <w:t>B 12158</w:t>
      </w:r>
      <w:r>
        <w:rPr>
          <w:rFonts w:hint="eastAsia" w:ascii="Times New Roman" w:hAnsi="Times New Roman" w:cs="Times New Roman"/>
          <w:lang w:eastAsia="zh-CN"/>
        </w:rPr>
        <w:t>中的相关要求。</w:t>
      </w:r>
    </w:p>
    <w:p w14:paraId="45E6AFDB">
      <w:pPr>
        <w:pStyle w:val="6"/>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软件要求规定了智能喷淋系统网络和数据传输要求、数据接口要求、数据存储要求、用户权限要求等，其中网络传输要求参照G</w:t>
      </w:r>
      <w:r>
        <w:rPr>
          <w:rFonts w:ascii="Times New Roman" w:hAnsi="Times New Roman" w:cs="Times New Roman"/>
          <w:lang w:eastAsia="zh-CN"/>
        </w:rPr>
        <w:t>B/T 25070</w:t>
      </w:r>
      <w:r>
        <w:rPr>
          <w:rFonts w:hint="eastAsia" w:ascii="Times New Roman" w:hAnsi="Times New Roman" w:cs="Times New Roman"/>
          <w:lang w:eastAsia="zh-CN"/>
        </w:rPr>
        <w:t>中的相关要求，数据传输要求参照</w:t>
      </w:r>
      <w:r>
        <w:rPr>
          <w:rFonts w:ascii="Times New Roman" w:hAnsi="Times New Roman" w:cs="Times New Roman"/>
          <w:lang w:eastAsia="zh-CN"/>
        </w:rPr>
        <w:t>GB/T 37025</w:t>
      </w:r>
      <w:r>
        <w:rPr>
          <w:rFonts w:hint="eastAsia" w:ascii="Times New Roman" w:hAnsi="Times New Roman" w:cs="Times New Roman"/>
          <w:lang w:eastAsia="zh-CN"/>
        </w:rPr>
        <w:t xml:space="preserve">中的相关要求，污染物在线监测系统数据传输要求参照 </w:t>
      </w:r>
      <w:r>
        <w:rPr>
          <w:rFonts w:ascii="Times New Roman" w:hAnsi="Times New Roman" w:cs="Times New Roman"/>
          <w:lang w:eastAsia="zh-CN"/>
        </w:rPr>
        <w:t>HJ 212</w:t>
      </w:r>
      <w:r>
        <w:rPr>
          <w:rFonts w:hint="eastAsia" w:ascii="Times New Roman" w:hAnsi="Times New Roman" w:cs="Times New Roman"/>
          <w:lang w:eastAsia="zh-CN"/>
        </w:rPr>
        <w:t>中相关要求。</w:t>
      </w:r>
    </w:p>
    <w:p w14:paraId="30FEAE4C">
      <w:pPr>
        <w:pStyle w:val="19"/>
        <w:numPr>
          <w:ilvl w:val="0"/>
          <w:numId w:val="1"/>
        </w:numPr>
        <w:spacing w:before="164" w:after="120" w:afterLines="50"/>
        <w:ind w:left="1027"/>
        <w:rPr>
          <w:rFonts w:ascii="Times New Roman" w:hAnsi="Times New Roman" w:cs="Times New Roman"/>
          <w:b/>
          <w:w w:val="105"/>
          <w:sz w:val="23"/>
          <w:lang w:eastAsia="zh-CN"/>
        </w:rPr>
      </w:pPr>
      <w:r>
        <w:rPr>
          <w:rFonts w:hint="eastAsia" w:ascii="Times New Roman" w:hAnsi="Times New Roman" w:cs="Times New Roman"/>
          <w:b/>
          <w:w w:val="105"/>
          <w:sz w:val="23"/>
          <w:lang w:eastAsia="zh-CN"/>
        </w:rPr>
        <w:t>第六章 技术要求</w:t>
      </w:r>
    </w:p>
    <w:p w14:paraId="0000D125">
      <w:pPr>
        <w:pStyle w:val="6"/>
        <w:spacing w:line="362" w:lineRule="auto"/>
        <w:ind w:left="609" w:right="632" w:firstLine="480"/>
        <w:jc w:val="both"/>
        <w:rPr>
          <w:rFonts w:ascii="Times New Roman" w:hAnsi="Times New Roman" w:cs="Times New Roman"/>
          <w:color w:val="000000" w:themeColor="text1"/>
          <w:lang w:eastAsia="zh-CN"/>
          <w14:textFill>
            <w14:solidFill>
              <w14:schemeClr w14:val="tx1"/>
            </w14:solidFill>
          </w14:textFill>
        </w:rPr>
      </w:pPr>
      <w:r>
        <w:rPr>
          <w:rFonts w:ascii="Times New Roman" w:hAnsi="Times New Roman" w:cs="Times New Roman"/>
          <w:lang w:eastAsia="zh-CN"/>
        </w:rPr>
        <w:t>该部分</w:t>
      </w:r>
      <w:r>
        <w:rPr>
          <w:rFonts w:hint="eastAsia" w:ascii="Times New Roman" w:hAnsi="Times New Roman" w:cs="Times New Roman"/>
          <w:lang w:eastAsia="zh-CN"/>
        </w:rPr>
        <w:t>按照系统构成对各子系统分别提出了具体的技术要求，包括各子系统的采集参数要求、系统具备功能要求、数据传输和存储要求等</w:t>
      </w:r>
      <w:r>
        <w:rPr>
          <w:rFonts w:hint="eastAsia" w:ascii="Times New Roman" w:hAnsi="Times New Roman" w:cs="Times New Roman"/>
          <w:color w:val="000000" w:themeColor="text1"/>
          <w:lang w:eastAsia="zh-CN"/>
          <w14:textFill>
            <w14:solidFill>
              <w14:schemeClr w14:val="tx1"/>
            </w14:solidFill>
          </w14:textFill>
        </w:rPr>
        <w:t>。</w:t>
      </w:r>
    </w:p>
    <w:p w14:paraId="570CA4BB">
      <w:pPr>
        <w:pStyle w:val="2"/>
        <w:spacing w:before="240" w:after="120" w:afterLines="50"/>
        <w:ind w:left="607"/>
        <w:rPr>
          <w:rFonts w:ascii="Times New Roman" w:hAnsi="Times New Roman" w:eastAsia="黑体" w:cs="Times New Roman"/>
          <w:spacing w:val="-2"/>
          <w:sz w:val="28"/>
          <w:szCs w:val="28"/>
          <w:lang w:eastAsia="zh-CN"/>
        </w:rPr>
      </w:pPr>
      <w:bookmarkStart w:id="7" w:name="_bookmark2"/>
      <w:bookmarkEnd w:id="7"/>
      <w:bookmarkStart w:id="8" w:name="5.第五章_作业前"/>
      <w:bookmarkEnd w:id="8"/>
      <w:bookmarkStart w:id="9" w:name="三、主要试验（或验证）的分析、综述报告，技术经济论证，预期的经济效果"/>
      <w:bookmarkEnd w:id="9"/>
      <w:bookmarkStart w:id="10" w:name="9.第九章_防范措施与应急方案"/>
      <w:bookmarkEnd w:id="10"/>
      <w:bookmarkStart w:id="11" w:name="_Toc178580719"/>
      <w:r>
        <w:rPr>
          <w:rFonts w:hint="eastAsia" w:ascii="Times New Roman" w:hAnsi="Times New Roman" w:eastAsia="黑体" w:cs="Times New Roman"/>
          <w:spacing w:val="-2"/>
          <w:sz w:val="28"/>
          <w:szCs w:val="28"/>
          <w:lang w:eastAsia="zh-CN"/>
        </w:rPr>
        <w:t>三</w:t>
      </w:r>
      <w:r>
        <w:rPr>
          <w:rFonts w:ascii="Times New Roman" w:hAnsi="Times New Roman" w:eastAsia="黑体" w:cs="Times New Roman"/>
          <w:spacing w:val="-2"/>
          <w:sz w:val="28"/>
          <w:szCs w:val="28"/>
          <w:lang w:eastAsia="zh-CN"/>
        </w:rPr>
        <w:t>、</w:t>
      </w:r>
      <w:r>
        <w:rPr>
          <w:rFonts w:hint="eastAsia" w:ascii="Times New Roman" w:hAnsi="Times New Roman" w:eastAsia="黑体" w:cs="Times New Roman"/>
          <w:spacing w:val="-2"/>
          <w:sz w:val="28"/>
          <w:szCs w:val="28"/>
          <w:lang w:eastAsia="zh-CN"/>
        </w:rPr>
        <w:t>主要技术方案分析与应用案例分析</w:t>
      </w:r>
      <w:bookmarkEnd w:id="11"/>
    </w:p>
    <w:p w14:paraId="3D12CBCA">
      <w:pPr>
        <w:pStyle w:val="6"/>
        <w:numPr>
          <w:ilvl w:val="0"/>
          <w:numId w:val="2"/>
        </w:numPr>
        <w:spacing w:before="240"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主要技术方案</w:t>
      </w:r>
    </w:p>
    <w:p w14:paraId="2B63DE14">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干散货码头露天堆场智能喷淋系统建设的主旨是实现粉尘排放重点区域识别控制，依靠建立的多重智能决策系统，达到起尘前预防与起尘后补救的双控效果。</w:t>
      </w:r>
    </w:p>
    <w:p w14:paraId="5A37AA26">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干散货码头露天堆场智能喷淋系统建设以干散货码头露天堆场为建设对象，基于露天堆场功能布局、作业现状、相关环保设施应用现状及既有喷淋设施建设情况，紧密结合调度作业、物料流转及大型机械作业流程等生产作业数据，选取适当安装位置的气象监测站点和粉尘浓度监测站点的数据，调用不同干散货货类的起尘特性，建立含水率判定模型和起尘判定模型，实现自动调配喷淋设施喷淋计划，喷洒水的智能决策与控制。</w:t>
      </w:r>
    </w:p>
    <w:p w14:paraId="7A1E4A66">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（1）粉尘浓度与环境因素的相关性</w:t>
      </w:r>
    </w:p>
    <w:p w14:paraId="68E2E1B5">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以粉尘</w:t>
      </w:r>
      <w:r>
        <w:rPr>
          <w:rFonts w:ascii="Times New Roman" w:hAnsi="Times New Roman" w:cs="Times New Roman"/>
          <w:lang w:eastAsia="zh-CN"/>
        </w:rPr>
        <w:t>浓度为研究对象</w:t>
      </w:r>
      <w:r>
        <w:rPr>
          <w:rFonts w:hint="eastAsia" w:ascii="Times New Roman" w:hAnsi="Times New Roman" w:cs="Times New Roman"/>
          <w:lang w:eastAsia="zh-CN"/>
        </w:rPr>
        <w:t>了解煤炭粉尘的污染成因</w:t>
      </w:r>
      <w:r>
        <w:rPr>
          <w:rFonts w:ascii="Times New Roman" w:hAnsi="Times New Roman" w:cs="Times New Roman"/>
          <w:lang w:eastAsia="zh-CN"/>
        </w:rPr>
        <w:t>，分析浓度与温度、相对湿度、风速、降水量、气压等气象因子的相关性</w:t>
      </w:r>
      <w:r>
        <w:rPr>
          <w:rFonts w:hint="eastAsia" w:ascii="Times New Roman" w:hAnsi="Times New Roman" w:cs="Times New Roman"/>
          <w:lang w:eastAsia="zh-CN"/>
        </w:rPr>
        <w:t>，</w:t>
      </w:r>
      <w:r>
        <w:rPr>
          <w:rFonts w:ascii="Times New Roman" w:hAnsi="Times New Roman" w:cs="Times New Roman"/>
          <w:lang w:eastAsia="zh-CN"/>
        </w:rPr>
        <w:t>为后续堆场智能喷淋系统实现喷洒水的智能决策与控制提供先决条件。</w:t>
      </w:r>
    </w:p>
    <w:p w14:paraId="7C22C69B">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（2）货种起尘特性分析</w:t>
      </w:r>
    </w:p>
    <w:p w14:paraId="25CB21B9">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干散货码头粉尘污染受作业工艺、风速风向、空气湿度、货种特性等多种因素影响，煤种相关因素是影响起尘及排放的重要因子。统计分析干散货码头货种吞吐量信息，以吞吐量为主要参考指标，选典型货种，开展粒径分布、润湿性、煤化程度、表面板结等起尘关键因素分析试验，结合现有资料与相关科研成果，依据起尘特性完成煤炭货种的科学分类，构建不同煤种的抑尘策略数据库，为粉尘污染防治措施的优化提供实验数据支持。</w:t>
      </w:r>
    </w:p>
    <w:p w14:paraId="036FF1EA">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（3）基于点位监测数据的面源可视化模型构建</w:t>
      </w:r>
    </w:p>
    <w:p w14:paraId="175EB414">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利用所获取的实时粉尘监测数据和完成空间差值运算，绘制污染分布空间等值线图或热力图，实现污染物空间分布实时可视化，进而为环境管理提供目标区域直观污染情势信息，构建污染情势感知体系，为污染溯源及智能喷淋管控提供空间立体数据支撑。</w:t>
      </w:r>
    </w:p>
    <w:p w14:paraId="0B37EBCF">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（4）局地风流场可视化模型构建</w:t>
      </w:r>
    </w:p>
    <w:p w14:paraId="01F61276">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针对堆场内部（防风网内部）的局地风流场进行模型构建，通过堆场环境特征数据在线监测终端的合理布设，实时采集堆场局地风速、风向、温湿度及颗粒物浓度等数据信息，通过系统综合运算，分析堆场风场变化特征，系统判定堆场整体及局部粉尘排放潜势。</w:t>
      </w:r>
    </w:p>
    <w:p w14:paraId="00524E57">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（5）堆垛表面含水率变化趋势预测模型构建</w:t>
      </w:r>
    </w:p>
    <w:p w14:paraId="59A6623F">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依托决策系统数据，实时获得各控制单元内在的当前风速、风向、温度、湿度、气压、降水量、云遮量等气象参数数据，结合现场在线水分仪实时监测数据，拟合堆垛表面含水率特征曲线，建立环境参数拟合下的含水率蒸发速率模型，可视化粉尘不同扩散天气条件下（稳态扩散条件、中性条件、不稳定扩散条件）含水率变化趋势。</w:t>
      </w:r>
    </w:p>
    <w:p w14:paraId="59188454">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（6）基于逆高斯羽流溯源模型的污染排放情势预测与重点起尘区域识别</w:t>
      </w:r>
    </w:p>
    <w:p w14:paraId="0BB75CFA">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堆垛源强估算首先对堆场进行网格化，以高斯扩散模型为理论基础，结合网格化粉尘排放源与监测点位间相对位置关系，利用实测数据求解网格粉尘源强矩阵的最优解来识别源强贡献，构建粉尘污染溯源模型，为科学洒水决策提供技术支撑，实现重点起尘区域的识别与判定。</w:t>
      </w:r>
    </w:p>
    <w:p w14:paraId="7AA5C42E">
      <w:pPr>
        <w:pStyle w:val="6"/>
        <w:numPr>
          <w:ilvl w:val="0"/>
          <w:numId w:val="2"/>
        </w:numPr>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应用案例</w:t>
      </w:r>
    </w:p>
    <w:p w14:paraId="4DA0E069">
      <w:pPr>
        <w:pStyle w:val="6"/>
        <w:spacing w:line="362" w:lineRule="auto"/>
        <w:ind w:left="1089"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干散货码头露天堆场智能喷淋系统目前已经在福建省罗屿作业区，营口港鲅鱼圈港区，秦皇岛港九公司作业区，大连湾矿石码头作业区成功落地实施，效果反馈良好，实现洒水抑尘预期管理、决策关键参数设置、洒水人工干预、洒水历史数据记录、等系统控制。</w:t>
      </w:r>
    </w:p>
    <w:p w14:paraId="73546987">
      <w:pPr>
        <w:pStyle w:val="6"/>
        <w:spacing w:line="362" w:lineRule="auto"/>
        <w:ind w:left="1089" w:right="629"/>
        <w:jc w:val="center"/>
        <w:rPr>
          <w:rFonts w:ascii="Times New Roman" w:hAnsi="Times New Roman" w:cs="Times New Roman"/>
          <w:lang w:eastAsia="zh-CN"/>
        </w:rPr>
      </w:pPr>
      <w:r>
        <w:rPr>
          <w:rFonts w:hint="eastAsia" w:ascii="Times New Roman" w:hAnsi="Times New Roman" w:cs="Times New Roman"/>
          <w:lang w:eastAsia="zh-CN"/>
        </w:rPr>
        <w:drawing>
          <wp:inline distT="0" distB="0" distL="0" distR="0">
            <wp:extent cx="4924425" cy="2721610"/>
            <wp:effectExtent l="0" t="0" r="0" b="2540"/>
            <wp:docPr id="13495940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594019"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4929361" cy="2724733"/>
                    </a:xfrm>
                    <a:prstGeom prst="rect">
                      <a:avLst/>
                    </a:prstGeom>
                    <a:noFill/>
                    <a:ln>
                      <a:noFill/>
                    </a:ln>
                  </pic:spPr>
                </pic:pic>
              </a:graphicData>
            </a:graphic>
          </wp:inline>
        </w:drawing>
      </w:r>
    </w:p>
    <w:p w14:paraId="5E46CE85">
      <w:pPr>
        <w:pStyle w:val="6"/>
        <w:spacing w:line="362" w:lineRule="auto"/>
        <w:ind w:left="1089" w:right="629"/>
        <w:jc w:val="center"/>
        <w:rPr>
          <w:rFonts w:ascii="Times New Roman" w:hAnsi="Times New Roman" w:cs="Times New Roman"/>
          <w:lang w:eastAsia="zh-CN"/>
        </w:rPr>
      </w:pPr>
      <w:r>
        <w:rPr>
          <w:rFonts w:hint="eastAsia" w:ascii="Times New Roman" w:hAnsi="Times New Roman" w:cs="Times New Roman"/>
          <w:lang w:eastAsia="zh-CN"/>
        </w:rPr>
        <w:t>罗屿港堆场智能喷洒水系统</w:t>
      </w:r>
    </w:p>
    <w:p w14:paraId="5951EDBD">
      <w:pPr>
        <w:pStyle w:val="6"/>
        <w:spacing w:line="362" w:lineRule="auto"/>
        <w:ind w:left="1089" w:right="629"/>
        <w:jc w:val="center"/>
        <w:rPr>
          <w:rFonts w:ascii="Times New Roman" w:hAnsi="Times New Roman" w:cs="Times New Roman"/>
          <w:lang w:eastAsia="zh-CN"/>
        </w:rPr>
      </w:pPr>
      <w:r>
        <w:rPr>
          <w:rFonts w:ascii="Times New Roman" w:hAnsi="Times New Roman" w:cs="Times New Roman"/>
          <w:lang w:eastAsia="zh-CN"/>
        </w:rPr>
        <w:drawing>
          <wp:inline distT="0" distB="0" distL="0" distR="0">
            <wp:extent cx="4924425" cy="2768600"/>
            <wp:effectExtent l="0" t="0" r="9525" b="0"/>
            <wp:docPr id="3731945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194514" name="图片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924800" cy="2768746"/>
                    </a:xfrm>
                    <a:prstGeom prst="rect">
                      <a:avLst/>
                    </a:prstGeom>
                    <a:noFill/>
                    <a:ln>
                      <a:noFill/>
                    </a:ln>
                  </pic:spPr>
                </pic:pic>
              </a:graphicData>
            </a:graphic>
          </wp:inline>
        </w:drawing>
      </w:r>
    </w:p>
    <w:p w14:paraId="3A273F98">
      <w:pPr>
        <w:pStyle w:val="6"/>
        <w:spacing w:line="362" w:lineRule="auto"/>
        <w:ind w:left="1089" w:right="629"/>
        <w:jc w:val="center"/>
        <w:rPr>
          <w:rFonts w:ascii="Times New Roman" w:hAnsi="Times New Roman" w:cs="Times New Roman"/>
          <w:lang w:eastAsia="zh-CN"/>
        </w:rPr>
      </w:pPr>
      <w:r>
        <w:rPr>
          <w:rFonts w:hint="eastAsia" w:ascii="Times New Roman" w:hAnsi="Times New Roman" w:cs="Times New Roman"/>
          <w:lang w:eastAsia="zh-CN"/>
        </w:rPr>
        <w:t>营口港A港池矿石堆场智能喷淋系统</w:t>
      </w:r>
    </w:p>
    <w:p w14:paraId="374CDCB4">
      <w:pPr>
        <w:pStyle w:val="6"/>
        <w:spacing w:line="362" w:lineRule="auto"/>
        <w:ind w:left="1089" w:right="629"/>
        <w:jc w:val="center"/>
        <w:rPr>
          <w:rFonts w:ascii="Times New Roman" w:hAnsi="Times New Roman" w:cs="Times New Roman"/>
          <w:lang w:eastAsia="zh-CN"/>
        </w:rPr>
      </w:pPr>
      <w:r>
        <w:drawing>
          <wp:inline distT="0" distB="0" distL="0" distR="0">
            <wp:extent cx="4924425" cy="2769870"/>
            <wp:effectExtent l="0" t="0" r="0" b="0"/>
            <wp:docPr id="18893646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364699"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924800" cy="2770394"/>
                    </a:xfrm>
                    <a:prstGeom prst="rect">
                      <a:avLst/>
                    </a:prstGeom>
                    <a:noFill/>
                    <a:ln>
                      <a:noFill/>
                    </a:ln>
                  </pic:spPr>
                </pic:pic>
              </a:graphicData>
            </a:graphic>
          </wp:inline>
        </w:drawing>
      </w:r>
    </w:p>
    <w:p w14:paraId="26D12A40">
      <w:pPr>
        <w:pStyle w:val="6"/>
        <w:spacing w:line="362" w:lineRule="auto"/>
        <w:ind w:left="1089" w:right="629"/>
        <w:jc w:val="center"/>
        <w:rPr>
          <w:rFonts w:ascii="Times New Roman" w:hAnsi="Times New Roman" w:cs="Times New Roman"/>
          <w:lang w:eastAsia="zh-CN"/>
        </w:rPr>
      </w:pPr>
      <w:r>
        <w:rPr>
          <w:rFonts w:hint="eastAsia" w:ascii="Times New Roman" w:hAnsi="Times New Roman" w:cs="Times New Roman"/>
          <w:lang w:eastAsia="zh-CN"/>
        </w:rPr>
        <w:t>秦皇岛港智能喷淋与补水决策系统</w:t>
      </w:r>
    </w:p>
    <w:p w14:paraId="7E900143">
      <w:pPr>
        <w:pStyle w:val="6"/>
        <w:spacing w:line="362" w:lineRule="auto"/>
        <w:ind w:left="1089" w:right="629"/>
        <w:jc w:val="center"/>
        <w:rPr>
          <w:rFonts w:ascii="Times New Roman" w:hAnsi="Times New Roman" w:cs="Times New Roman"/>
          <w:lang w:eastAsia="zh-CN"/>
        </w:rPr>
      </w:pPr>
      <w:r>
        <w:drawing>
          <wp:inline distT="0" distB="0" distL="0" distR="0">
            <wp:extent cx="4924425" cy="2769870"/>
            <wp:effectExtent l="0" t="0" r="0" b="0"/>
            <wp:docPr id="3843783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378314" name="图片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924800" cy="2770394"/>
                    </a:xfrm>
                    <a:prstGeom prst="rect">
                      <a:avLst/>
                    </a:prstGeom>
                    <a:noFill/>
                    <a:ln>
                      <a:noFill/>
                    </a:ln>
                  </pic:spPr>
                </pic:pic>
              </a:graphicData>
            </a:graphic>
          </wp:inline>
        </w:drawing>
      </w:r>
    </w:p>
    <w:p w14:paraId="2DBA62E2">
      <w:pPr>
        <w:pStyle w:val="6"/>
        <w:spacing w:line="362" w:lineRule="auto"/>
        <w:ind w:left="1089" w:right="629"/>
        <w:jc w:val="center"/>
        <w:rPr>
          <w:rFonts w:hint="eastAsia" w:ascii="Times New Roman" w:hAnsi="Times New Roman" w:cs="Times New Roman"/>
          <w:lang w:eastAsia="zh-CN"/>
        </w:rPr>
      </w:pPr>
      <w:r>
        <w:rPr>
          <w:rFonts w:hint="eastAsia" w:ascii="Times New Roman" w:hAnsi="Times New Roman" w:cs="Times New Roman"/>
          <w:lang w:eastAsia="zh-CN"/>
        </w:rPr>
        <w:t>大连港堆场智能喷淋与全流程含水率优化控制系统</w:t>
      </w:r>
    </w:p>
    <w:p w14:paraId="0F5B7991">
      <w:pPr>
        <w:pStyle w:val="6"/>
        <w:numPr>
          <w:ilvl w:val="0"/>
          <w:numId w:val="2"/>
        </w:numPr>
        <w:spacing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预期经济效果</w:t>
      </w:r>
    </w:p>
    <w:p w14:paraId="6F71059E">
      <w:pPr>
        <w:pStyle w:val="6"/>
        <w:spacing w:line="362" w:lineRule="auto"/>
        <w:ind w:left="1089" w:right="632"/>
        <w:jc w:val="both"/>
        <w:rPr>
          <w:rFonts w:ascii="Times New Roman" w:hAnsi="Times New Roman" w:cs="Times New Roman"/>
          <w:lang w:eastAsia="zh-CN"/>
        </w:rPr>
      </w:pPr>
      <w:r>
        <w:rPr>
          <w:rFonts w:hint="eastAsia" w:ascii="Times New Roman" w:hAnsi="Times New Roman" w:cs="Times New Roman"/>
          <w:lang w:eastAsia="zh-CN"/>
        </w:rPr>
        <w:t>（1）减少水资源浪费</w:t>
      </w:r>
    </w:p>
    <w:p w14:paraId="37C73D34">
      <w:pPr>
        <w:pStyle w:val="6"/>
        <w:spacing w:line="362" w:lineRule="auto"/>
        <w:ind w:left="607"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干散货码头露天堆场智能喷淋系统通过传感器和自动控制技术，能够实时监测环境条件（如颗粒物浓度，温湿度、风向风速，降雨量等）和堆场作业信息状态，精准控制喷淋时间和水量，避免了传统喷淋系统可能导致的水资源浪费，不仅节省了水费，也符合可持续发展的原则。</w:t>
      </w:r>
    </w:p>
    <w:p w14:paraId="588C3A43">
      <w:pPr>
        <w:pStyle w:val="6"/>
        <w:spacing w:line="362" w:lineRule="auto"/>
        <w:ind w:left="607"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（2）降低运营成本</w:t>
      </w:r>
    </w:p>
    <w:p w14:paraId="75AA9C8E">
      <w:pPr>
        <w:pStyle w:val="6"/>
        <w:spacing w:line="362" w:lineRule="auto"/>
        <w:ind w:left="607"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由于智能喷淋系统可以实现自动化管理，减少了对人工的依赖，降低了人力成本。同时，系统的自动化功能使得维护和管理工作更为高效，进一步降低了运营成本。</w:t>
      </w:r>
    </w:p>
    <w:p w14:paraId="63A2C73F">
      <w:pPr>
        <w:pStyle w:val="6"/>
        <w:spacing w:line="362" w:lineRule="auto"/>
        <w:ind w:left="607"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（3）提高堆场作业效率</w:t>
      </w:r>
    </w:p>
    <w:p w14:paraId="306B7AE6">
      <w:pPr>
        <w:pStyle w:val="6"/>
        <w:spacing w:line="362" w:lineRule="auto"/>
        <w:ind w:left="607"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良好的喷淋系统能够有效控制堆场的扬尘和环境湿度，减少因环境问题导致的作业延误，通过创造更好的工作环境，可以提高操作效率，减少设备故障和停工时间，从而提升整体作业效率。</w:t>
      </w:r>
    </w:p>
    <w:p w14:paraId="176EEAE8">
      <w:pPr>
        <w:pStyle w:val="6"/>
        <w:spacing w:line="362" w:lineRule="auto"/>
        <w:ind w:left="607"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（4）改善环境影响</w:t>
      </w:r>
    </w:p>
    <w:p w14:paraId="6E1E23BB">
      <w:pPr>
        <w:pStyle w:val="6"/>
        <w:spacing w:line="362" w:lineRule="auto"/>
        <w:ind w:left="607"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智能喷淋系统能有效控制干散货堆场静态风蚀起尘和动态机械作业扬尘，改善周边环境，有助于港口运营符合环保标准，避免因环保问题而产生的罚款或制裁，从而降低潜在的经济损失。</w:t>
      </w:r>
    </w:p>
    <w:p w14:paraId="792D0C8A">
      <w:pPr>
        <w:pStyle w:val="6"/>
        <w:spacing w:line="362" w:lineRule="auto"/>
        <w:ind w:left="607" w:right="629" w:firstLine="480" w:firstLineChars="200"/>
        <w:jc w:val="both"/>
        <w:rPr>
          <w:rFonts w:ascii="Times New Roman" w:hAnsi="Times New Roman" w:cs="Times New Roman"/>
          <w:lang w:eastAsia="zh-CN"/>
        </w:rPr>
      </w:pPr>
      <w:r>
        <w:rPr>
          <w:rFonts w:hint="eastAsia" w:ascii="Times New Roman" w:hAnsi="Times New Roman" w:cs="Times New Roman"/>
          <w:lang w:eastAsia="zh-CN"/>
        </w:rPr>
        <w:t>（5）数据分析与决策支持</w:t>
      </w:r>
    </w:p>
    <w:p w14:paraId="403B3079">
      <w:pPr>
        <w:pStyle w:val="6"/>
        <w:spacing w:line="362" w:lineRule="auto"/>
        <w:ind w:left="607" w:right="629" w:firstLine="480" w:firstLineChars="200"/>
        <w:jc w:val="both"/>
        <w:rPr>
          <w:rFonts w:hint="eastAsia" w:ascii="Times New Roman" w:hAnsi="Times New Roman" w:cs="Times New Roman"/>
          <w:lang w:eastAsia="zh-CN"/>
        </w:rPr>
      </w:pPr>
      <w:r>
        <w:rPr>
          <w:rFonts w:hint="eastAsia" w:ascii="Times New Roman" w:hAnsi="Times New Roman" w:cs="Times New Roman"/>
          <w:lang w:eastAsia="zh-CN"/>
        </w:rPr>
        <w:t>智能喷淋系统通常配备数据监测和分析功能，可以为港口管理者提供实时数据支持，数据分析，能够帮助管理者做出更合理的决策，优化资源配置，提高客户的满意度和信任感，吸引更多的客户和业务合作机会，从而带来更高的经济收益。</w:t>
      </w:r>
    </w:p>
    <w:p w14:paraId="2AEE2814">
      <w:pPr>
        <w:pStyle w:val="2"/>
        <w:spacing w:before="240" w:after="120" w:afterLines="50"/>
        <w:ind w:left="607"/>
        <w:rPr>
          <w:rFonts w:ascii="Times New Roman" w:hAnsi="Times New Roman" w:eastAsia="黑体" w:cs="Times New Roman"/>
          <w:spacing w:val="-2"/>
          <w:sz w:val="28"/>
          <w:szCs w:val="28"/>
          <w:lang w:eastAsia="zh-CN"/>
        </w:rPr>
      </w:pPr>
      <w:bookmarkStart w:id="12" w:name="_bookmark3"/>
      <w:bookmarkEnd w:id="12"/>
      <w:bookmarkStart w:id="13" w:name="四、采用国际标准和国外先进标准的程度，以及与国际、国外同类标准水平的对比情况，或"/>
      <w:bookmarkEnd w:id="13"/>
      <w:bookmarkStart w:id="14" w:name="_Toc178580720"/>
      <w:r>
        <w:rPr>
          <w:rFonts w:ascii="Times New Roman" w:hAnsi="Times New Roman" w:eastAsia="黑体" w:cs="Times New Roman"/>
          <w:spacing w:val="-2"/>
          <w:sz w:val="28"/>
          <w:szCs w:val="28"/>
          <w:lang w:eastAsia="zh-CN"/>
        </w:rPr>
        <w:t>四、</w:t>
      </w:r>
      <w:r>
        <w:rPr>
          <w:rFonts w:hint="eastAsia" w:ascii="Times New Roman" w:hAnsi="Times New Roman" w:eastAsia="黑体" w:cs="Times New Roman"/>
          <w:spacing w:val="-2"/>
          <w:sz w:val="28"/>
          <w:szCs w:val="28"/>
          <w:lang w:eastAsia="zh-CN"/>
        </w:rPr>
        <w:t>与国际、国外同类标准水平</w:t>
      </w:r>
      <w:r>
        <w:rPr>
          <w:rFonts w:ascii="Times New Roman" w:hAnsi="Times New Roman" w:eastAsia="黑体" w:cs="Times New Roman"/>
          <w:spacing w:val="-2"/>
          <w:sz w:val="28"/>
          <w:szCs w:val="28"/>
          <w:lang w:eastAsia="zh-CN"/>
        </w:rPr>
        <w:t>的</w:t>
      </w:r>
      <w:r>
        <w:rPr>
          <w:rFonts w:hint="eastAsia" w:ascii="Times New Roman" w:hAnsi="Times New Roman" w:eastAsia="黑体" w:cs="Times New Roman"/>
          <w:spacing w:val="-2"/>
          <w:sz w:val="28"/>
          <w:szCs w:val="28"/>
          <w:lang w:eastAsia="zh-CN"/>
        </w:rPr>
        <w:t>对比情况</w:t>
      </w:r>
      <w:bookmarkEnd w:id="14"/>
    </w:p>
    <w:p w14:paraId="70057B64">
      <w:pPr>
        <w:pStyle w:val="6"/>
        <w:spacing w:before="240" w:line="362" w:lineRule="auto"/>
        <w:ind w:left="609" w:right="632" w:firstLine="480"/>
        <w:jc w:val="both"/>
        <w:rPr>
          <w:rFonts w:ascii="Times New Roman" w:hAnsi="Times New Roman" w:cs="Times New Roman"/>
          <w:lang w:eastAsia="zh-CN"/>
        </w:rPr>
      </w:pPr>
      <w:r>
        <w:rPr>
          <w:rFonts w:hint="eastAsia" w:ascii="Times New Roman" w:hAnsi="Times New Roman" w:cs="Times New Roman"/>
          <w:lang w:eastAsia="zh-CN"/>
        </w:rPr>
        <w:t>本标准与现行相关标准相接轨，且技术要求更为严格，未采标，标准水平达到国内先进水平。</w:t>
      </w:r>
    </w:p>
    <w:p w14:paraId="59D68E75">
      <w:pPr>
        <w:pStyle w:val="2"/>
        <w:spacing w:before="240" w:after="120" w:afterLines="50"/>
        <w:ind w:left="607"/>
        <w:rPr>
          <w:rFonts w:ascii="Times New Roman" w:hAnsi="Times New Roman" w:eastAsia="黑体" w:cs="Times New Roman"/>
          <w:spacing w:val="-2"/>
          <w:sz w:val="28"/>
          <w:szCs w:val="28"/>
          <w:lang w:eastAsia="zh-CN"/>
        </w:rPr>
      </w:pPr>
      <w:bookmarkStart w:id="15" w:name="_bookmark4"/>
      <w:bookmarkEnd w:id="15"/>
      <w:bookmarkStart w:id="16" w:name="五、与有关的现行法律、法规和强制性标准的关系"/>
      <w:bookmarkEnd w:id="16"/>
      <w:bookmarkStart w:id="17" w:name="_Toc178580721"/>
      <w:r>
        <w:rPr>
          <w:rFonts w:ascii="Times New Roman" w:hAnsi="Times New Roman" w:eastAsia="黑体" w:cs="Times New Roman"/>
          <w:spacing w:val="-2"/>
          <w:sz w:val="28"/>
          <w:szCs w:val="28"/>
          <w:lang w:eastAsia="zh-CN"/>
        </w:rPr>
        <w:t>五、与有关现行法律、法规和强制性标准的关系</w:t>
      </w:r>
      <w:bookmarkEnd w:id="17"/>
    </w:p>
    <w:p w14:paraId="2192DCCF">
      <w:pPr>
        <w:pStyle w:val="6"/>
        <w:spacing w:before="240" w:line="362" w:lineRule="auto"/>
        <w:ind w:left="609" w:right="632" w:firstLine="480"/>
        <w:jc w:val="both"/>
        <w:rPr>
          <w:rFonts w:ascii="Times New Roman" w:hAnsi="Times New Roman" w:cs="Times New Roman"/>
          <w:lang w:eastAsia="zh-CN"/>
        </w:rPr>
      </w:pPr>
      <w:bookmarkStart w:id="18" w:name="_bookmark5"/>
      <w:bookmarkEnd w:id="18"/>
      <w:r>
        <w:rPr>
          <w:rFonts w:ascii="Times New Roman" w:hAnsi="Times New Roman" w:cs="Times New Roman"/>
          <w:lang w:eastAsia="zh-CN"/>
        </w:rPr>
        <w:t>本文件引用了 GB/T 8487界定的相关术语</w:t>
      </w:r>
      <w:r>
        <w:rPr>
          <w:rFonts w:hint="eastAsia" w:ascii="Times New Roman" w:hAnsi="Times New Roman" w:cs="Times New Roman"/>
          <w:lang w:eastAsia="zh-CN"/>
        </w:rPr>
        <w:t>，</w:t>
      </w:r>
      <w:r>
        <w:rPr>
          <w:rFonts w:ascii="Times New Roman" w:hAnsi="Times New Roman" w:cs="Times New Roman"/>
          <w:lang w:eastAsia="zh-CN"/>
        </w:rPr>
        <w:t>本文件的编制以</w:t>
      </w:r>
      <w:r>
        <w:rPr>
          <w:rFonts w:hint="eastAsia" w:ascii="Times New Roman" w:hAnsi="Times New Roman" w:cs="Times New Roman"/>
          <w:lang w:eastAsia="zh-CN"/>
        </w:rPr>
        <w:t xml:space="preserve"> </w:t>
      </w:r>
      <w:r>
        <w:rPr>
          <w:rFonts w:ascii="Times New Roman" w:hAnsi="Times New Roman" w:cs="Times New Roman"/>
          <w:lang w:eastAsia="zh-CN"/>
        </w:rPr>
        <w:t>JTS 156、JTS 149 中关于煤炭、矿石堆存中粉尘控制措施的相关要求为依据</w:t>
      </w:r>
      <w:r>
        <w:rPr>
          <w:rFonts w:hint="eastAsia" w:ascii="Times New Roman" w:hAnsi="Times New Roman" w:cs="Times New Roman"/>
          <w:lang w:eastAsia="zh-CN"/>
        </w:rPr>
        <w:t>，喷淋用水水质要求参照</w:t>
      </w:r>
      <w:r>
        <w:rPr>
          <w:rFonts w:ascii="Times New Roman" w:hAnsi="Times New Roman" w:cs="Times New Roman"/>
          <w:lang w:eastAsia="zh-CN"/>
        </w:rPr>
        <w:t>GB/T 18920</w:t>
      </w:r>
      <w:r>
        <w:rPr>
          <w:rFonts w:hint="eastAsia" w:ascii="Times New Roman" w:hAnsi="Times New Roman" w:cs="Times New Roman"/>
          <w:lang w:eastAsia="zh-CN"/>
        </w:rPr>
        <w:t>，智能喷淋抑尘系统设计要求参照</w:t>
      </w:r>
      <w:r>
        <w:rPr>
          <w:rFonts w:ascii="Times New Roman" w:hAnsi="Times New Roman" w:cs="Times New Roman"/>
          <w:lang w:eastAsia="zh-CN"/>
        </w:rPr>
        <w:t>GB 50265，电气设备保护要求参照GB 12158，静电</w:t>
      </w:r>
      <w:r>
        <w:rPr>
          <w:rFonts w:hint="eastAsia" w:ascii="Times New Roman" w:hAnsi="Times New Roman" w:cs="Times New Roman"/>
          <w:lang w:eastAsia="zh-CN"/>
        </w:rPr>
        <w:t>防护</w:t>
      </w:r>
      <w:r>
        <w:rPr>
          <w:rFonts w:ascii="Times New Roman" w:hAnsi="Times New Roman" w:cs="Times New Roman"/>
          <w:lang w:eastAsia="zh-CN"/>
        </w:rPr>
        <w:t>要求参照GB 12158</w:t>
      </w:r>
      <w:r>
        <w:rPr>
          <w:rFonts w:hint="eastAsia" w:ascii="Times New Roman" w:hAnsi="Times New Roman" w:cs="Times New Roman"/>
          <w:lang w:eastAsia="zh-CN"/>
        </w:rPr>
        <w:t xml:space="preserve">，网络传输要求参照 </w:t>
      </w:r>
      <w:r>
        <w:rPr>
          <w:rFonts w:ascii="Times New Roman" w:hAnsi="Times New Roman" w:cs="Times New Roman"/>
          <w:lang w:eastAsia="zh-CN"/>
        </w:rPr>
        <w:t>GB/T 25070</w:t>
      </w:r>
      <w:r>
        <w:rPr>
          <w:rFonts w:hint="eastAsia" w:ascii="Times New Roman" w:hAnsi="Times New Roman" w:cs="Times New Roman"/>
          <w:lang w:eastAsia="zh-CN"/>
        </w:rPr>
        <w:t>，</w:t>
      </w:r>
      <w:r>
        <w:rPr>
          <w:rFonts w:ascii="Times New Roman" w:hAnsi="Times New Roman" w:cs="Times New Roman"/>
          <w:lang w:eastAsia="zh-CN"/>
        </w:rPr>
        <w:t>数据传输要求参照GB/T 37025</w:t>
      </w:r>
      <w:r>
        <w:rPr>
          <w:rFonts w:hint="eastAsia" w:ascii="Times New Roman" w:hAnsi="Times New Roman" w:cs="Times New Roman"/>
          <w:lang w:eastAsia="zh-CN"/>
        </w:rPr>
        <w:t>，堆场表面含水率要求参照</w:t>
      </w:r>
      <w:r>
        <w:rPr>
          <w:rFonts w:ascii="Times New Roman" w:hAnsi="Times New Roman" w:cs="Times New Roman"/>
          <w:lang w:eastAsia="zh-CN"/>
        </w:rPr>
        <w:t>JTS 156，</w:t>
      </w:r>
      <w:r>
        <w:rPr>
          <w:rFonts w:hint="eastAsia" w:ascii="Times New Roman" w:hAnsi="Times New Roman" w:cs="Times New Roman"/>
          <w:lang w:eastAsia="zh-CN"/>
        </w:rPr>
        <w:t>台账信息</w:t>
      </w:r>
      <w:r>
        <w:rPr>
          <w:rFonts w:ascii="Times New Roman" w:hAnsi="Times New Roman" w:cs="Times New Roman"/>
          <w:lang w:eastAsia="zh-CN"/>
        </w:rPr>
        <w:t>管理要求参照 HJ 944 和 HJ 1107，</w:t>
      </w:r>
      <w:r>
        <w:rPr>
          <w:rFonts w:hint="eastAsia" w:ascii="Times New Roman" w:hAnsi="Times New Roman" w:cs="Times New Roman"/>
          <w:lang w:eastAsia="zh-CN"/>
        </w:rPr>
        <w:t>污染物在线监测系统数据传输</w:t>
      </w:r>
      <w:r>
        <w:rPr>
          <w:rFonts w:ascii="Times New Roman" w:hAnsi="Times New Roman" w:cs="Times New Roman"/>
          <w:lang w:eastAsia="zh-CN"/>
        </w:rPr>
        <w:t>要求参照HJ 212中相关要求。</w:t>
      </w:r>
    </w:p>
    <w:p w14:paraId="51076E1E">
      <w:pPr>
        <w:pStyle w:val="2"/>
        <w:spacing w:before="240" w:after="120" w:afterLines="50"/>
        <w:ind w:left="607"/>
        <w:rPr>
          <w:rFonts w:ascii="Times New Roman" w:hAnsi="Times New Roman" w:eastAsia="黑体" w:cs="Times New Roman"/>
          <w:spacing w:val="-2"/>
          <w:sz w:val="28"/>
          <w:szCs w:val="28"/>
          <w:lang w:eastAsia="zh-CN"/>
        </w:rPr>
      </w:pPr>
      <w:bookmarkStart w:id="19" w:name="_Toc178580722"/>
      <w:r>
        <w:rPr>
          <w:rFonts w:ascii="Times New Roman" w:hAnsi="Times New Roman" w:eastAsia="黑体" w:cs="Times New Roman"/>
          <w:spacing w:val="-2"/>
          <w:sz w:val="28"/>
          <w:szCs w:val="28"/>
          <w:lang w:eastAsia="zh-CN"/>
        </w:rPr>
        <w:t>六、重大分歧意见的处理经过和依据</w:t>
      </w:r>
      <w:bookmarkEnd w:id="19"/>
      <w:bookmarkStart w:id="20" w:name="_bookmark6"/>
      <w:bookmarkEnd w:id="20"/>
    </w:p>
    <w:p w14:paraId="73FB5747">
      <w:pPr>
        <w:pStyle w:val="6"/>
        <w:spacing w:before="240" w:line="362" w:lineRule="auto"/>
        <w:ind w:left="609" w:right="632" w:firstLine="480"/>
        <w:rPr>
          <w:rFonts w:ascii="Times New Roman" w:hAnsi="Times New Roman" w:cs="Times New Roman"/>
          <w:lang w:eastAsia="zh-CN"/>
        </w:rPr>
      </w:pPr>
      <w:r>
        <w:rPr>
          <w:rFonts w:ascii="Times New Roman" w:hAnsi="Times New Roman" w:cs="Times New Roman"/>
          <w:lang w:eastAsia="zh-CN"/>
        </w:rPr>
        <w:t>无。</w:t>
      </w:r>
    </w:p>
    <w:p w14:paraId="76B06E9D">
      <w:pPr>
        <w:pStyle w:val="2"/>
        <w:spacing w:before="240" w:after="120" w:afterLines="50"/>
        <w:ind w:left="607"/>
        <w:rPr>
          <w:rFonts w:ascii="Times New Roman" w:hAnsi="Times New Roman" w:eastAsia="黑体" w:cs="Times New Roman"/>
          <w:spacing w:val="-2"/>
          <w:sz w:val="28"/>
          <w:szCs w:val="28"/>
          <w:lang w:eastAsia="zh-CN"/>
        </w:rPr>
      </w:pPr>
      <w:bookmarkStart w:id="21" w:name="七、贯彻标准的要求和措施建议（包括组织措施、技术措施、过渡办法等内容）"/>
      <w:bookmarkEnd w:id="21"/>
      <w:bookmarkStart w:id="22" w:name="_Toc178580723"/>
      <w:r>
        <w:rPr>
          <w:rFonts w:ascii="Times New Roman" w:hAnsi="Times New Roman" w:eastAsia="黑体" w:cs="Times New Roman"/>
          <w:spacing w:val="-2"/>
          <w:sz w:val="28"/>
          <w:szCs w:val="28"/>
          <w:lang w:eastAsia="zh-CN"/>
        </w:rPr>
        <w:t>七、贯彻标准的要求和措施建议（包括组织措施、技术措施、过渡办法等内容）</w:t>
      </w:r>
      <w:bookmarkEnd w:id="22"/>
    </w:p>
    <w:p w14:paraId="12DCF3FF">
      <w:pPr>
        <w:pStyle w:val="6"/>
        <w:spacing w:before="240"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在本文件发布后，开展对本文件的宣传和贯彻的培训，规范干散货码头露天堆场</w:t>
      </w:r>
      <w:r>
        <w:rPr>
          <w:rFonts w:hint="eastAsia" w:ascii="Times New Roman" w:hAnsi="Times New Roman" w:cs="Times New Roman"/>
          <w:lang w:eastAsia="zh-CN"/>
        </w:rPr>
        <w:t>智能喷淋作业</w:t>
      </w:r>
      <w:r>
        <w:rPr>
          <w:rFonts w:ascii="Times New Roman" w:hAnsi="Times New Roman" w:cs="Times New Roman"/>
          <w:lang w:eastAsia="zh-CN"/>
        </w:rPr>
        <w:t>，确保干散货码头露天堆场</w:t>
      </w:r>
      <w:r>
        <w:rPr>
          <w:rFonts w:hint="eastAsia" w:ascii="Times New Roman" w:hAnsi="Times New Roman" w:cs="Times New Roman"/>
          <w:lang w:eastAsia="zh-CN"/>
        </w:rPr>
        <w:t>智能喷淋抑尘系统的系统构成、基本要求和技术要求的规范性和一致性，</w:t>
      </w:r>
      <w:r>
        <w:rPr>
          <w:rFonts w:ascii="Times New Roman" w:hAnsi="Times New Roman" w:cs="Times New Roman"/>
          <w:lang w:eastAsia="zh-CN"/>
        </w:rPr>
        <w:t>指导企业</w:t>
      </w:r>
      <w:r>
        <w:rPr>
          <w:rFonts w:hint="eastAsia" w:ascii="Times New Roman" w:hAnsi="Times New Roman" w:cs="Times New Roman"/>
          <w:lang w:eastAsia="zh-CN"/>
        </w:rPr>
        <w:t>智能喷淋抑尘系统设计、建设及使用</w:t>
      </w:r>
      <w:r>
        <w:rPr>
          <w:rFonts w:ascii="Times New Roman" w:hAnsi="Times New Roman" w:cs="Times New Roman"/>
          <w:lang w:eastAsia="zh-CN"/>
        </w:rPr>
        <w:t>，为煤炭、矿石等干散货码头企业实施</w:t>
      </w:r>
      <w:r>
        <w:rPr>
          <w:rFonts w:hint="eastAsia" w:ascii="Times New Roman" w:hAnsi="Times New Roman" w:cs="Times New Roman"/>
          <w:lang w:eastAsia="zh-CN"/>
        </w:rPr>
        <w:t>智能喷淋抑尘</w:t>
      </w:r>
      <w:r>
        <w:rPr>
          <w:rFonts w:ascii="Times New Roman" w:hAnsi="Times New Roman" w:cs="Times New Roman"/>
          <w:lang w:eastAsia="zh-CN"/>
        </w:rPr>
        <w:t>提供规范指导，</w:t>
      </w:r>
      <w:r>
        <w:rPr>
          <w:rFonts w:hint="eastAsia" w:ascii="Times New Roman" w:hAnsi="Times New Roman" w:cs="Times New Roman"/>
          <w:lang w:eastAsia="zh-CN"/>
        </w:rPr>
        <w:t>突破干散货码头堆场传统技术应用局限，从根源上缓解堆场静态风蚀起尘问题</w:t>
      </w:r>
      <w:r>
        <w:rPr>
          <w:rFonts w:ascii="Times New Roman" w:hAnsi="Times New Roman" w:cs="Times New Roman"/>
          <w:lang w:eastAsia="zh-CN"/>
        </w:rPr>
        <w:t>。</w:t>
      </w:r>
    </w:p>
    <w:p w14:paraId="672DDA80">
      <w:pPr>
        <w:pStyle w:val="6"/>
        <w:spacing w:line="362" w:lineRule="auto"/>
        <w:ind w:left="609" w:right="632" w:firstLine="480"/>
        <w:jc w:val="both"/>
        <w:rPr>
          <w:rFonts w:ascii="Times New Roman" w:hAnsi="Times New Roman" w:cs="Times New Roman"/>
          <w:lang w:eastAsia="zh-CN"/>
        </w:rPr>
      </w:pPr>
      <w:r>
        <w:rPr>
          <w:rFonts w:ascii="Times New Roman" w:hAnsi="Times New Roman" w:cs="Times New Roman"/>
          <w:lang w:eastAsia="zh-CN"/>
        </w:rPr>
        <w:t>本文件发布后</w:t>
      </w:r>
      <w:r>
        <w:rPr>
          <w:rFonts w:hint="eastAsia" w:ascii="Times New Roman" w:hAnsi="Times New Roman" w:cs="Times New Roman"/>
          <w:lang w:eastAsia="zh-CN"/>
        </w:rPr>
        <w:t>拟设建设智能喷淋抑尘系统的干散货码头企业</w:t>
      </w:r>
      <w:r>
        <w:rPr>
          <w:rFonts w:ascii="Times New Roman" w:hAnsi="Times New Roman" w:cs="Times New Roman"/>
          <w:lang w:eastAsia="zh-CN"/>
        </w:rPr>
        <w:t>，</w:t>
      </w:r>
      <w:r>
        <w:rPr>
          <w:rFonts w:hint="eastAsia" w:ascii="Times New Roman" w:hAnsi="Times New Roman" w:cs="Times New Roman"/>
          <w:lang w:eastAsia="zh-CN"/>
        </w:rPr>
        <w:t>应</w:t>
      </w:r>
      <w:r>
        <w:rPr>
          <w:rFonts w:ascii="Times New Roman" w:hAnsi="Times New Roman" w:cs="Times New Roman"/>
          <w:lang w:eastAsia="zh-CN"/>
        </w:rPr>
        <w:t>依照本文件的相关规定进行</w:t>
      </w:r>
      <w:r>
        <w:rPr>
          <w:rFonts w:hint="eastAsia" w:ascii="Times New Roman" w:hAnsi="Times New Roman" w:cs="Times New Roman"/>
          <w:lang w:eastAsia="zh-CN"/>
        </w:rPr>
        <w:t>智能喷淋抑尘系统的设计、建设及使用</w:t>
      </w:r>
      <w:r>
        <w:rPr>
          <w:rFonts w:ascii="Times New Roman" w:hAnsi="Times New Roman" w:cs="Times New Roman"/>
          <w:lang w:eastAsia="zh-CN"/>
        </w:rPr>
        <w:t>，从而提高干散货码头企业现有露天堆场粉尘的防治效率。已经开始使用</w:t>
      </w:r>
      <w:r>
        <w:rPr>
          <w:rFonts w:hint="eastAsia" w:ascii="Times New Roman" w:hAnsi="Times New Roman" w:cs="Times New Roman"/>
          <w:lang w:eastAsia="zh-CN"/>
        </w:rPr>
        <w:t>智能喷淋抑尘系统</w:t>
      </w:r>
      <w:r>
        <w:rPr>
          <w:rFonts w:ascii="Times New Roman" w:hAnsi="Times New Roman" w:cs="Times New Roman"/>
          <w:lang w:eastAsia="zh-CN"/>
        </w:rPr>
        <w:t>的干散货码头企业，</w:t>
      </w:r>
      <w:r>
        <w:rPr>
          <w:rFonts w:hint="eastAsia" w:ascii="Times New Roman" w:hAnsi="Times New Roman" w:cs="Times New Roman"/>
          <w:lang w:eastAsia="zh-CN"/>
        </w:rPr>
        <w:t>可参照</w:t>
      </w:r>
      <w:r>
        <w:rPr>
          <w:rFonts w:ascii="Times New Roman" w:hAnsi="Times New Roman" w:cs="Times New Roman"/>
          <w:lang w:eastAsia="zh-CN"/>
        </w:rPr>
        <w:t>本文件的相关规定，进行</w:t>
      </w:r>
      <w:r>
        <w:rPr>
          <w:rFonts w:hint="eastAsia" w:ascii="Times New Roman" w:hAnsi="Times New Roman" w:cs="Times New Roman"/>
          <w:lang w:eastAsia="zh-CN"/>
        </w:rPr>
        <w:t>智能喷淋抑尘系统</w:t>
      </w:r>
      <w:r>
        <w:rPr>
          <w:rFonts w:ascii="Times New Roman" w:hAnsi="Times New Roman" w:cs="Times New Roman"/>
          <w:lang w:eastAsia="zh-CN"/>
        </w:rPr>
        <w:t>作业，确保更好的抑尘效果</w:t>
      </w:r>
      <w:r>
        <w:rPr>
          <w:rFonts w:hint="eastAsia" w:ascii="Times New Roman" w:hAnsi="Times New Roman" w:cs="Times New Roman"/>
          <w:lang w:eastAsia="zh-CN"/>
        </w:rPr>
        <w:t>。</w:t>
      </w:r>
    </w:p>
    <w:p w14:paraId="24549A05">
      <w:pPr>
        <w:pStyle w:val="2"/>
        <w:spacing w:before="240" w:after="120" w:afterLines="50"/>
        <w:ind w:left="607"/>
        <w:rPr>
          <w:rFonts w:ascii="Times New Roman" w:hAnsi="Times New Roman" w:eastAsia="黑体" w:cs="Times New Roman"/>
          <w:spacing w:val="-2"/>
          <w:sz w:val="28"/>
          <w:szCs w:val="28"/>
          <w:lang w:eastAsia="zh-CN"/>
        </w:rPr>
      </w:pPr>
      <w:bookmarkStart w:id="23" w:name="_bookmark7"/>
      <w:bookmarkEnd w:id="23"/>
      <w:bookmarkStart w:id="24" w:name="八、废止现行有关标准的建议"/>
      <w:bookmarkEnd w:id="24"/>
      <w:bookmarkStart w:id="25" w:name="_Toc178580724"/>
      <w:r>
        <w:rPr>
          <w:rFonts w:ascii="Times New Roman" w:hAnsi="Times New Roman" w:eastAsia="黑体" w:cs="Times New Roman"/>
          <w:spacing w:val="-2"/>
          <w:sz w:val="28"/>
          <w:szCs w:val="28"/>
          <w:lang w:eastAsia="zh-CN"/>
        </w:rPr>
        <w:t>八、废止现行有关标准的建议</w:t>
      </w:r>
      <w:bookmarkEnd w:id="25"/>
    </w:p>
    <w:p w14:paraId="37B42A63">
      <w:pPr>
        <w:pStyle w:val="6"/>
        <w:spacing w:before="240" w:line="362" w:lineRule="auto"/>
        <w:ind w:left="609" w:right="632" w:firstLine="480"/>
        <w:rPr>
          <w:rFonts w:ascii="Times New Roman" w:hAnsi="Times New Roman" w:cs="Times New Roman"/>
          <w:lang w:eastAsia="zh-CN"/>
        </w:rPr>
      </w:pPr>
      <w:r>
        <w:rPr>
          <w:rFonts w:ascii="Times New Roman" w:hAnsi="Times New Roman" w:cs="Times New Roman"/>
          <w:lang w:eastAsia="zh-CN"/>
        </w:rPr>
        <w:t>无。</w:t>
      </w:r>
    </w:p>
    <w:p w14:paraId="08676F6F">
      <w:pPr>
        <w:pStyle w:val="2"/>
        <w:spacing w:before="240" w:after="120" w:afterLines="50"/>
        <w:ind w:left="607"/>
        <w:rPr>
          <w:rFonts w:ascii="Times New Roman" w:hAnsi="Times New Roman" w:eastAsia="黑体" w:cs="Times New Roman"/>
          <w:spacing w:val="-2"/>
          <w:sz w:val="28"/>
          <w:szCs w:val="28"/>
          <w:lang w:eastAsia="zh-CN"/>
        </w:rPr>
      </w:pPr>
      <w:bookmarkStart w:id="26" w:name="九、其他应予说明的事项"/>
      <w:bookmarkEnd w:id="26"/>
      <w:bookmarkStart w:id="27" w:name="_bookmark8"/>
      <w:bookmarkEnd w:id="27"/>
      <w:bookmarkStart w:id="28" w:name="_Toc178580725"/>
      <w:r>
        <w:rPr>
          <w:rFonts w:ascii="Times New Roman" w:hAnsi="Times New Roman" w:eastAsia="黑体" w:cs="Times New Roman"/>
          <w:spacing w:val="-2"/>
          <w:sz w:val="28"/>
          <w:szCs w:val="28"/>
          <w:lang w:eastAsia="zh-CN"/>
        </w:rPr>
        <w:t>九、其他应予说明的事项</w:t>
      </w:r>
      <w:bookmarkEnd w:id="28"/>
    </w:p>
    <w:p w14:paraId="1C901DB8">
      <w:pPr>
        <w:pStyle w:val="6"/>
        <w:spacing w:before="240" w:line="362" w:lineRule="auto"/>
        <w:ind w:left="609" w:right="632" w:firstLine="480"/>
        <w:rPr>
          <w:rFonts w:ascii="Times New Roman" w:hAnsi="Times New Roman" w:cs="Times New Roman"/>
          <w:lang w:eastAsia="zh-CN"/>
        </w:rPr>
      </w:pPr>
      <w:r>
        <w:rPr>
          <w:rFonts w:ascii="Times New Roman" w:hAnsi="Times New Roman" w:cs="Times New Roman"/>
          <w:lang w:eastAsia="zh-CN"/>
        </w:rPr>
        <w:t>无。</w:t>
      </w:r>
    </w:p>
    <w:p w14:paraId="3FE0E0E6">
      <w:pPr>
        <w:pStyle w:val="6"/>
        <w:spacing w:before="161" w:line="362" w:lineRule="auto"/>
        <w:ind w:left="609" w:right="632" w:firstLine="480"/>
        <w:rPr>
          <w:rFonts w:ascii="Times New Roman" w:hAnsi="Times New Roman" w:cs="Times New Roman"/>
          <w:spacing w:val="-12"/>
          <w:lang w:eastAsia="zh-CN"/>
        </w:rPr>
      </w:pPr>
    </w:p>
    <w:p w14:paraId="130674D0">
      <w:pPr>
        <w:pStyle w:val="6"/>
        <w:spacing w:before="161" w:line="362" w:lineRule="auto"/>
        <w:ind w:left="609" w:right="632" w:firstLine="480"/>
        <w:rPr>
          <w:rFonts w:ascii="Times New Roman" w:hAnsi="Times New Roman" w:cs="Times New Roman"/>
          <w:spacing w:val="-12"/>
          <w:lang w:eastAsia="zh-CN"/>
        </w:rPr>
      </w:pPr>
    </w:p>
    <w:p w14:paraId="3FABC05A">
      <w:pPr>
        <w:pStyle w:val="6"/>
        <w:spacing w:before="161" w:line="362" w:lineRule="auto"/>
        <w:ind w:left="609" w:right="632" w:firstLine="480"/>
        <w:rPr>
          <w:rFonts w:ascii="Times New Roman" w:hAnsi="Times New Roman" w:cs="Times New Roman"/>
          <w:lang w:eastAsia="zh-CN"/>
        </w:rPr>
      </w:pPr>
    </w:p>
    <w:p w14:paraId="7C273AD1">
      <w:pPr>
        <w:pStyle w:val="6"/>
        <w:spacing w:before="161" w:line="362" w:lineRule="auto"/>
        <w:ind w:left="609" w:right="632" w:firstLine="480"/>
        <w:rPr>
          <w:rFonts w:ascii="Times New Roman" w:hAnsi="Times New Roman" w:cs="Times New Roman"/>
          <w:lang w:eastAsia="zh-CN"/>
        </w:rPr>
      </w:pPr>
    </w:p>
    <w:p w14:paraId="72A53C91">
      <w:pPr>
        <w:rPr>
          <w:rFonts w:ascii="Times New Roman" w:hAnsi="Times New Roman" w:cs="Times New Roman"/>
          <w:sz w:val="35"/>
          <w:szCs w:val="24"/>
          <w:lang w:eastAsia="zh-CN"/>
        </w:rPr>
      </w:pPr>
    </w:p>
    <w:sectPr>
      <w:footerReference r:id="rId4" w:type="default"/>
      <w:pgSz w:w="11910" w:h="16840"/>
      <w:pgMar w:top="1580" w:right="1180" w:bottom="1200" w:left="1200" w:header="0" w:footer="923"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1356EC">
    <w:pPr>
      <w:pStyle w:val="6"/>
      <w:spacing w:line="14" w:lineRule="auto"/>
      <w:rPr>
        <w:sz w:val="20"/>
      </w:rPr>
    </w:pPr>
    <w:r>
      <w:rPr>
        <w:lang w:eastAsia="zh-CN"/>
      </w:rPr>
      <mc:AlternateContent>
        <mc:Choice Requires="wps">
          <w:drawing>
            <wp:anchor distT="0" distB="0" distL="114300" distR="114300" simplePos="0" relativeHeight="251660288" behindDoc="1" locked="0" layoutInCell="1" allowOverlap="1">
              <wp:simplePos x="0" y="0"/>
              <wp:positionH relativeFrom="page">
                <wp:posOffset>3757930</wp:posOffset>
              </wp:positionH>
              <wp:positionV relativeFrom="page">
                <wp:posOffset>9914255</wp:posOffset>
              </wp:positionV>
              <wp:extent cx="54610" cy="167005"/>
              <wp:effectExtent l="0" t="0" r="0" b="0"/>
              <wp:wrapNone/>
              <wp:docPr id="46" name="Text Box 2"/>
              <wp:cNvGraphicFramePr/>
              <a:graphic xmlns:a="http://schemas.openxmlformats.org/drawingml/2006/main">
                <a:graphicData uri="http://schemas.microsoft.com/office/word/2010/wordprocessingShape">
                  <wps:wsp>
                    <wps:cNvSpPr txBox="1">
                      <a:spLocks noChangeArrowheads="1"/>
                    </wps:cNvSpPr>
                    <wps:spPr bwMode="auto">
                      <a:xfrm>
                        <a:off x="0" y="0"/>
                        <a:ext cx="54610" cy="167005"/>
                      </a:xfrm>
                      <a:prstGeom prst="rect">
                        <a:avLst/>
                      </a:prstGeom>
                      <a:noFill/>
                      <a:ln>
                        <a:noFill/>
                      </a:ln>
                    </wps:spPr>
                    <wps:txbx>
                      <w:txbxContent>
                        <w:p w14:paraId="4896D2A3">
                          <w:pPr>
                            <w:spacing w:before="22"/>
                            <w:ind w:left="20"/>
                            <w:rPr>
                              <w:rFonts w:ascii="Calibri"/>
                              <w:sz w:val="18"/>
                            </w:rPr>
                          </w:pPr>
                          <w:r>
                            <w:rPr>
                              <w:rFonts w:ascii="Calibri"/>
                              <w:w w:val="101"/>
                              <w:sz w:val="18"/>
                            </w:rPr>
                            <w:t>I</w:t>
                          </w:r>
                        </w:p>
                      </w:txbxContent>
                    </wps:txbx>
                    <wps:bodyPr rot="0" vert="horz" wrap="square" lIns="0" tIns="0" rIns="0" bIns="0" anchor="t" anchorCtr="0" upright="1">
                      <a:noAutofit/>
                    </wps:bodyPr>
                  </wps:wsp>
                </a:graphicData>
              </a:graphic>
            </wp:anchor>
          </w:drawing>
        </mc:Choice>
        <mc:Fallback>
          <w:pict>
            <v:shape id="Text Box 2" o:spid="_x0000_s1026" o:spt="202" type="#_x0000_t202" style="position:absolute;left:0pt;margin-left:295.9pt;margin-top:780.65pt;height:13.15pt;width:4.3pt;mso-position-horizontal-relative:page;mso-position-vertical-relative:page;z-index:-251656192;mso-width-relative:page;mso-height-relative:page;" filled="f" stroked="f" coordsize="21600,21600" o:gfxdata="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7NKaKNoAAAANAQAADwAAAAAAAAABACAAAAAiAAAAZHJzL2Rvd25y&#10;ZXYueG1sUEsBAhQAFAAAAAgAh07iQAERf9T8AQAAAwQAAA4AAAAAAAAAAQAgAAAAKQEAAGRycy9l&#10;Mm9Eb2MueG1sUEsFBgAAAAAGAAYAWQEAAJcFAAAAAA==&#10;">
              <v:fill on="f" focussize="0,0"/>
              <v:stroke on="f"/>
              <v:imagedata o:title=""/>
              <o:lock v:ext="edit" aspectratio="f"/>
              <v:textbox inset="0mm,0mm,0mm,0mm">
                <w:txbxContent>
                  <w:p w14:paraId="4896D2A3">
                    <w:pPr>
                      <w:spacing w:before="22"/>
                      <w:ind w:left="20"/>
                      <w:rPr>
                        <w:rFonts w:ascii="Calibri"/>
                        <w:sz w:val="18"/>
                      </w:rPr>
                    </w:pPr>
                    <w:r>
                      <w:rPr>
                        <w:rFonts w:ascii="Calibri"/>
                        <w:w w:val="101"/>
                        <w:sz w:val="18"/>
                      </w:rPr>
                      <w:t>I</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D8E636">
    <w:pPr>
      <w:pStyle w:val="6"/>
      <w:spacing w:line="14" w:lineRule="auto"/>
      <w:rPr>
        <w:sz w:val="14"/>
      </w:rPr>
    </w:pPr>
    <w:r>
      <w:rPr>
        <w:lang w:eastAsia="zh-CN"/>
      </w:rPr>
      <mc:AlternateContent>
        <mc:Choice Requires="wps">
          <w:drawing>
            <wp:anchor distT="0" distB="0" distL="114300" distR="114300" simplePos="0" relativeHeight="251659264" behindDoc="1" locked="0" layoutInCell="1" allowOverlap="1">
              <wp:simplePos x="0" y="0"/>
              <wp:positionH relativeFrom="page">
                <wp:posOffset>3702050</wp:posOffset>
              </wp:positionH>
              <wp:positionV relativeFrom="page">
                <wp:posOffset>9914255</wp:posOffset>
              </wp:positionV>
              <wp:extent cx="167005" cy="167005"/>
              <wp:effectExtent l="0" t="0" r="0" b="0"/>
              <wp:wrapNone/>
              <wp:docPr id="45" name="Text Box 1"/>
              <wp:cNvGraphicFramePr/>
              <a:graphic xmlns:a="http://schemas.openxmlformats.org/drawingml/2006/main">
                <a:graphicData uri="http://schemas.microsoft.com/office/word/2010/wordprocessingShape">
                  <wps:wsp>
                    <wps:cNvSpPr txBox="1">
                      <a:spLocks noChangeArrowheads="1"/>
                    </wps:cNvSpPr>
                    <wps:spPr bwMode="auto">
                      <a:xfrm>
                        <a:off x="0" y="0"/>
                        <a:ext cx="167005" cy="167005"/>
                      </a:xfrm>
                      <a:prstGeom prst="rect">
                        <a:avLst/>
                      </a:prstGeom>
                      <a:noFill/>
                      <a:ln>
                        <a:noFill/>
                      </a:ln>
                    </wps:spPr>
                    <wps:txbx>
                      <w:txbxContent>
                        <w:p w14:paraId="7BF153EE">
                          <w:pPr>
                            <w:spacing w:before="22"/>
                            <w:ind w:left="40"/>
                            <w:rPr>
                              <w:rFonts w:ascii="Calibri"/>
                              <w:sz w:val="18"/>
                            </w:rPr>
                          </w:pPr>
                          <w:r>
                            <w:fldChar w:fldCharType="begin"/>
                          </w:r>
                          <w:r>
                            <w:rPr>
                              <w:rFonts w:ascii="Calibri"/>
                              <w:sz w:val="18"/>
                            </w:rPr>
                            <w:instrText xml:space="preserve"> PAGE </w:instrText>
                          </w:r>
                          <w:r>
                            <w:fldChar w:fldCharType="separate"/>
                          </w:r>
                          <w:r>
                            <w:rPr>
                              <w:rFonts w:ascii="Calibri"/>
                              <w:sz w:val="18"/>
                            </w:rPr>
                            <w:t>7</w:t>
                          </w:r>
                          <w:r>
                            <w:fldChar w:fldCharType="end"/>
                          </w:r>
                        </w:p>
                      </w:txbxContent>
                    </wps:txbx>
                    <wps:bodyPr rot="0" vert="horz" wrap="square" lIns="0" tIns="0" rIns="0" bIns="0" anchor="t" anchorCtr="0" upright="1">
                      <a:noAutofit/>
                    </wps:bodyPr>
                  </wps:wsp>
                </a:graphicData>
              </a:graphic>
            </wp:anchor>
          </w:drawing>
        </mc:Choice>
        <mc:Fallback>
          <w:pict>
            <v:shape id="Text Box 1" o:spid="_x0000_s1026" o:spt="202" type="#_x0000_t202" style="position:absolute;left:0pt;margin-left:291.5pt;margin-top:780.65pt;height:13.15pt;width:13.15pt;mso-position-horizontal-relative:page;mso-position-vertical-relative:page;z-index:-251657216;mso-width-relative:page;mso-height-relative:page;" filled="f" stroked="f" coordsize="21600,21600" o:gfxdata="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bwfkqdoAAAANAQAADwAAAAAAAAABACAAAAAiAAAAZHJzL2Rvd25yZXYueG1s&#10;UEsBAhQAFAAAAAgAh07iQAEYQGL2AQAABAQAAA4AAAAAAAAAAQAgAAAAKQEAAGRycy9lMm9Eb2Mu&#10;eG1sUEsFBgAAAAAGAAYAWQEAAJEFAAAAAA==&#10;">
              <v:fill on="f" focussize="0,0"/>
              <v:stroke on="f"/>
              <v:imagedata o:title=""/>
              <o:lock v:ext="edit" aspectratio="f"/>
              <v:textbox inset="0mm,0mm,0mm,0mm">
                <w:txbxContent>
                  <w:p w14:paraId="7BF153EE">
                    <w:pPr>
                      <w:spacing w:before="22"/>
                      <w:ind w:left="40"/>
                      <w:rPr>
                        <w:rFonts w:ascii="Calibri"/>
                        <w:sz w:val="18"/>
                      </w:rPr>
                    </w:pPr>
                    <w:r>
                      <w:fldChar w:fldCharType="begin"/>
                    </w:r>
                    <w:r>
                      <w:rPr>
                        <w:rFonts w:ascii="Calibri"/>
                        <w:sz w:val="18"/>
                      </w:rPr>
                      <w:instrText xml:space="preserve"> PAGE </w:instrText>
                    </w:r>
                    <w:r>
                      <w:fldChar w:fldCharType="separate"/>
                    </w:r>
                    <w:r>
                      <w:rPr>
                        <w:rFonts w:ascii="Calibri"/>
                        <w:sz w:val="18"/>
                      </w:rPr>
                      <w:t>7</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ECE28D"/>
    <w:multiLevelType w:val="singleLevel"/>
    <w:tmpl w:val="B1ECE28D"/>
    <w:lvl w:ilvl="0" w:tentative="0">
      <w:start w:val="1"/>
      <w:numFmt w:val="chineseCounting"/>
      <w:suff w:val="nothing"/>
      <w:lvlText w:val="（%1）"/>
      <w:lvlJc w:val="left"/>
      <w:rPr>
        <w:rFonts w:hint="eastAsia"/>
      </w:rPr>
    </w:lvl>
  </w:abstractNum>
  <w:abstractNum w:abstractNumId="1">
    <w:nsid w:val="348468C1"/>
    <w:multiLevelType w:val="multilevel"/>
    <w:tmpl w:val="348468C1"/>
    <w:lvl w:ilvl="0" w:tentative="0">
      <w:start w:val="1"/>
      <w:numFmt w:val="decimal"/>
      <w:lvlText w:val="%1."/>
      <w:lvlJc w:val="left"/>
      <w:pPr>
        <w:ind w:left="1029"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8"/>
  <w:bordersDoNotSurroundHeader w:val="1"/>
  <w:bordersDoNotSurroundFooter w:val="1"/>
  <w:documentProtection w:enforcement="0"/>
  <w:defaultTabStop w:val="720"/>
  <w:drawingGridHorizontalSpacing w:val="110"/>
  <w:displayHorizontalDrawingGridEvery w:val="2"/>
  <w:characterSpacingControl w:val="doNotCompress"/>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FjMmU1MDFiNGVmODAwOTQ5M2U0ODhiMjc4MTJjMDgifQ=="/>
  </w:docVars>
  <w:rsids>
    <w:rsidRoot w:val="008A3187"/>
    <w:rsid w:val="00002A45"/>
    <w:rsid w:val="00004E73"/>
    <w:rsid w:val="00014EA8"/>
    <w:rsid w:val="00016F27"/>
    <w:rsid w:val="000176BD"/>
    <w:rsid w:val="00026001"/>
    <w:rsid w:val="00026EB4"/>
    <w:rsid w:val="000312BD"/>
    <w:rsid w:val="00031F04"/>
    <w:rsid w:val="00032687"/>
    <w:rsid w:val="00034058"/>
    <w:rsid w:val="00036401"/>
    <w:rsid w:val="000367D1"/>
    <w:rsid w:val="00046ED5"/>
    <w:rsid w:val="00060750"/>
    <w:rsid w:val="00064D0D"/>
    <w:rsid w:val="00065480"/>
    <w:rsid w:val="00065F2C"/>
    <w:rsid w:val="0006605F"/>
    <w:rsid w:val="000664EA"/>
    <w:rsid w:val="0007407E"/>
    <w:rsid w:val="00081BD0"/>
    <w:rsid w:val="000865D6"/>
    <w:rsid w:val="00090843"/>
    <w:rsid w:val="00094044"/>
    <w:rsid w:val="000A2776"/>
    <w:rsid w:val="000A4786"/>
    <w:rsid w:val="000A7DE8"/>
    <w:rsid w:val="000B1693"/>
    <w:rsid w:val="000B4E0E"/>
    <w:rsid w:val="000C738E"/>
    <w:rsid w:val="000D0D5B"/>
    <w:rsid w:val="000D217C"/>
    <w:rsid w:val="000D55C1"/>
    <w:rsid w:val="000E2E03"/>
    <w:rsid w:val="000E5DFF"/>
    <w:rsid w:val="000E7EB4"/>
    <w:rsid w:val="000F2EDD"/>
    <w:rsid w:val="000F32C6"/>
    <w:rsid w:val="000F5985"/>
    <w:rsid w:val="000F64B4"/>
    <w:rsid w:val="00100855"/>
    <w:rsid w:val="001075F0"/>
    <w:rsid w:val="00115C2B"/>
    <w:rsid w:val="00115C4B"/>
    <w:rsid w:val="001238F4"/>
    <w:rsid w:val="00127557"/>
    <w:rsid w:val="00127EFD"/>
    <w:rsid w:val="00130665"/>
    <w:rsid w:val="00132649"/>
    <w:rsid w:val="00133387"/>
    <w:rsid w:val="00133D0F"/>
    <w:rsid w:val="001365E6"/>
    <w:rsid w:val="00140D74"/>
    <w:rsid w:val="00142A78"/>
    <w:rsid w:val="0014645F"/>
    <w:rsid w:val="00147BB3"/>
    <w:rsid w:val="00154863"/>
    <w:rsid w:val="00154EC5"/>
    <w:rsid w:val="00156ACE"/>
    <w:rsid w:val="001678ED"/>
    <w:rsid w:val="00171CDA"/>
    <w:rsid w:val="00171E2F"/>
    <w:rsid w:val="001746D2"/>
    <w:rsid w:val="001832F8"/>
    <w:rsid w:val="00190036"/>
    <w:rsid w:val="00190048"/>
    <w:rsid w:val="00195211"/>
    <w:rsid w:val="001A23B2"/>
    <w:rsid w:val="001A402E"/>
    <w:rsid w:val="001A4C55"/>
    <w:rsid w:val="001A515F"/>
    <w:rsid w:val="001A6590"/>
    <w:rsid w:val="001B024B"/>
    <w:rsid w:val="001B7A2C"/>
    <w:rsid w:val="001B7F0C"/>
    <w:rsid w:val="001C0B1E"/>
    <w:rsid w:val="001D082D"/>
    <w:rsid w:val="001D0D19"/>
    <w:rsid w:val="001D2FDC"/>
    <w:rsid w:val="001E021F"/>
    <w:rsid w:val="001E0956"/>
    <w:rsid w:val="001E0F99"/>
    <w:rsid w:val="001E4C5A"/>
    <w:rsid w:val="001E673D"/>
    <w:rsid w:val="001F0CAF"/>
    <w:rsid w:val="001F0ECD"/>
    <w:rsid w:val="001F10FC"/>
    <w:rsid w:val="001F566F"/>
    <w:rsid w:val="002030CD"/>
    <w:rsid w:val="00205245"/>
    <w:rsid w:val="002068B5"/>
    <w:rsid w:val="00216580"/>
    <w:rsid w:val="00217DDD"/>
    <w:rsid w:val="00222D5B"/>
    <w:rsid w:val="00232643"/>
    <w:rsid w:val="00234F88"/>
    <w:rsid w:val="00235386"/>
    <w:rsid w:val="002446EC"/>
    <w:rsid w:val="00246F74"/>
    <w:rsid w:val="00254B69"/>
    <w:rsid w:val="00260183"/>
    <w:rsid w:val="00260AF8"/>
    <w:rsid w:val="002621BD"/>
    <w:rsid w:val="00262889"/>
    <w:rsid w:val="002632CB"/>
    <w:rsid w:val="00263D73"/>
    <w:rsid w:val="0026411A"/>
    <w:rsid w:val="00267269"/>
    <w:rsid w:val="00267555"/>
    <w:rsid w:val="0027061B"/>
    <w:rsid w:val="00283752"/>
    <w:rsid w:val="002853E9"/>
    <w:rsid w:val="00286723"/>
    <w:rsid w:val="00286A9F"/>
    <w:rsid w:val="00295017"/>
    <w:rsid w:val="00297D00"/>
    <w:rsid w:val="002A5BCF"/>
    <w:rsid w:val="002A5E77"/>
    <w:rsid w:val="002C0FC7"/>
    <w:rsid w:val="002C1AB8"/>
    <w:rsid w:val="002C1E64"/>
    <w:rsid w:val="002D1333"/>
    <w:rsid w:val="002E0C7C"/>
    <w:rsid w:val="002E0C8E"/>
    <w:rsid w:val="002E14DD"/>
    <w:rsid w:val="002E1794"/>
    <w:rsid w:val="002E1F80"/>
    <w:rsid w:val="002E5EBA"/>
    <w:rsid w:val="002E651A"/>
    <w:rsid w:val="002F1558"/>
    <w:rsid w:val="002F4140"/>
    <w:rsid w:val="002F48D6"/>
    <w:rsid w:val="002F4BBB"/>
    <w:rsid w:val="003010AC"/>
    <w:rsid w:val="00302755"/>
    <w:rsid w:val="00306D93"/>
    <w:rsid w:val="00306F4A"/>
    <w:rsid w:val="00310A0C"/>
    <w:rsid w:val="00310B9E"/>
    <w:rsid w:val="00311FDC"/>
    <w:rsid w:val="003140E2"/>
    <w:rsid w:val="00322116"/>
    <w:rsid w:val="00325A6C"/>
    <w:rsid w:val="0033069F"/>
    <w:rsid w:val="003315F0"/>
    <w:rsid w:val="00331887"/>
    <w:rsid w:val="00336725"/>
    <w:rsid w:val="003371D1"/>
    <w:rsid w:val="00350B47"/>
    <w:rsid w:val="0035104E"/>
    <w:rsid w:val="003544B4"/>
    <w:rsid w:val="00355D72"/>
    <w:rsid w:val="003578EC"/>
    <w:rsid w:val="00361043"/>
    <w:rsid w:val="003653DC"/>
    <w:rsid w:val="00366D27"/>
    <w:rsid w:val="00370BDB"/>
    <w:rsid w:val="00373507"/>
    <w:rsid w:val="00376089"/>
    <w:rsid w:val="00376994"/>
    <w:rsid w:val="00383CFA"/>
    <w:rsid w:val="00383DBB"/>
    <w:rsid w:val="00383FEC"/>
    <w:rsid w:val="00386E1D"/>
    <w:rsid w:val="00391F9D"/>
    <w:rsid w:val="003A0BF7"/>
    <w:rsid w:val="003A1127"/>
    <w:rsid w:val="003A4657"/>
    <w:rsid w:val="003B1134"/>
    <w:rsid w:val="003B3A9F"/>
    <w:rsid w:val="003B6932"/>
    <w:rsid w:val="003B7836"/>
    <w:rsid w:val="003D273A"/>
    <w:rsid w:val="003D3CD8"/>
    <w:rsid w:val="003D3FD2"/>
    <w:rsid w:val="003E169F"/>
    <w:rsid w:val="003E1B5D"/>
    <w:rsid w:val="003F1446"/>
    <w:rsid w:val="003F236E"/>
    <w:rsid w:val="00400314"/>
    <w:rsid w:val="00401811"/>
    <w:rsid w:val="00403B70"/>
    <w:rsid w:val="00406C58"/>
    <w:rsid w:val="00407923"/>
    <w:rsid w:val="0041323F"/>
    <w:rsid w:val="00416BC7"/>
    <w:rsid w:val="00417C46"/>
    <w:rsid w:val="004202E1"/>
    <w:rsid w:val="00421ED0"/>
    <w:rsid w:val="004240C1"/>
    <w:rsid w:val="004268C5"/>
    <w:rsid w:val="004336E2"/>
    <w:rsid w:val="00433CC0"/>
    <w:rsid w:val="00433E30"/>
    <w:rsid w:val="00443509"/>
    <w:rsid w:val="00444710"/>
    <w:rsid w:val="00451702"/>
    <w:rsid w:val="00455263"/>
    <w:rsid w:val="004558BE"/>
    <w:rsid w:val="004606C9"/>
    <w:rsid w:val="004608AB"/>
    <w:rsid w:val="00460D3F"/>
    <w:rsid w:val="004649C6"/>
    <w:rsid w:val="0047392D"/>
    <w:rsid w:val="00481C3E"/>
    <w:rsid w:val="00482A9A"/>
    <w:rsid w:val="00483EA5"/>
    <w:rsid w:val="00485785"/>
    <w:rsid w:val="00492F4D"/>
    <w:rsid w:val="004936E0"/>
    <w:rsid w:val="004A1859"/>
    <w:rsid w:val="004A705B"/>
    <w:rsid w:val="004B2355"/>
    <w:rsid w:val="004B31F3"/>
    <w:rsid w:val="004B4FF7"/>
    <w:rsid w:val="004C1BDC"/>
    <w:rsid w:val="004C5628"/>
    <w:rsid w:val="004C76B5"/>
    <w:rsid w:val="004D0E6F"/>
    <w:rsid w:val="004D35A8"/>
    <w:rsid w:val="004D4E2D"/>
    <w:rsid w:val="004D5BB7"/>
    <w:rsid w:val="004D6887"/>
    <w:rsid w:val="004E0149"/>
    <w:rsid w:val="004E3FEF"/>
    <w:rsid w:val="004E57E0"/>
    <w:rsid w:val="004F3C4B"/>
    <w:rsid w:val="004F5C53"/>
    <w:rsid w:val="00500A5E"/>
    <w:rsid w:val="00501B73"/>
    <w:rsid w:val="00515C54"/>
    <w:rsid w:val="0051753E"/>
    <w:rsid w:val="00517943"/>
    <w:rsid w:val="0052045C"/>
    <w:rsid w:val="005257FA"/>
    <w:rsid w:val="005273FC"/>
    <w:rsid w:val="005304E0"/>
    <w:rsid w:val="00535658"/>
    <w:rsid w:val="005356A4"/>
    <w:rsid w:val="00543600"/>
    <w:rsid w:val="00551270"/>
    <w:rsid w:val="00552F08"/>
    <w:rsid w:val="00560276"/>
    <w:rsid w:val="00571CAB"/>
    <w:rsid w:val="005768C7"/>
    <w:rsid w:val="005847F1"/>
    <w:rsid w:val="00591020"/>
    <w:rsid w:val="005972ED"/>
    <w:rsid w:val="005A03CE"/>
    <w:rsid w:val="005A1448"/>
    <w:rsid w:val="005A57F5"/>
    <w:rsid w:val="005B65C2"/>
    <w:rsid w:val="005B6E4B"/>
    <w:rsid w:val="005B7F56"/>
    <w:rsid w:val="005C47CF"/>
    <w:rsid w:val="005D4C89"/>
    <w:rsid w:val="005D69EF"/>
    <w:rsid w:val="005E0914"/>
    <w:rsid w:val="005E1C34"/>
    <w:rsid w:val="005E7199"/>
    <w:rsid w:val="005F0E8F"/>
    <w:rsid w:val="005F2FC8"/>
    <w:rsid w:val="005F3CEC"/>
    <w:rsid w:val="005F720D"/>
    <w:rsid w:val="006017CA"/>
    <w:rsid w:val="00606D9B"/>
    <w:rsid w:val="00607125"/>
    <w:rsid w:val="00610898"/>
    <w:rsid w:val="00611FA9"/>
    <w:rsid w:val="00612B85"/>
    <w:rsid w:val="00616FA7"/>
    <w:rsid w:val="006260C3"/>
    <w:rsid w:val="006309E9"/>
    <w:rsid w:val="00630A23"/>
    <w:rsid w:val="006330B2"/>
    <w:rsid w:val="00635673"/>
    <w:rsid w:val="00646F92"/>
    <w:rsid w:val="00647C41"/>
    <w:rsid w:val="006526D9"/>
    <w:rsid w:val="00653DBC"/>
    <w:rsid w:val="0066389A"/>
    <w:rsid w:val="006758B7"/>
    <w:rsid w:val="006760C4"/>
    <w:rsid w:val="0068234C"/>
    <w:rsid w:val="00685FE1"/>
    <w:rsid w:val="00694376"/>
    <w:rsid w:val="0069479F"/>
    <w:rsid w:val="006A00E1"/>
    <w:rsid w:val="006A5C3C"/>
    <w:rsid w:val="006A6E0C"/>
    <w:rsid w:val="006B044B"/>
    <w:rsid w:val="006B2049"/>
    <w:rsid w:val="006B521E"/>
    <w:rsid w:val="006B6AE4"/>
    <w:rsid w:val="006C6D53"/>
    <w:rsid w:val="006D124E"/>
    <w:rsid w:val="006D75BC"/>
    <w:rsid w:val="006E60E3"/>
    <w:rsid w:val="006F4CE1"/>
    <w:rsid w:val="006F6BA0"/>
    <w:rsid w:val="00700519"/>
    <w:rsid w:val="007011B7"/>
    <w:rsid w:val="00701C0B"/>
    <w:rsid w:val="0070696F"/>
    <w:rsid w:val="007104FE"/>
    <w:rsid w:val="0071142D"/>
    <w:rsid w:val="00713FC9"/>
    <w:rsid w:val="00725A89"/>
    <w:rsid w:val="007278E5"/>
    <w:rsid w:val="00735258"/>
    <w:rsid w:val="0073634E"/>
    <w:rsid w:val="00737A00"/>
    <w:rsid w:val="00740273"/>
    <w:rsid w:val="00751FA9"/>
    <w:rsid w:val="00752774"/>
    <w:rsid w:val="0075466E"/>
    <w:rsid w:val="00757306"/>
    <w:rsid w:val="00764AEA"/>
    <w:rsid w:val="00765A8F"/>
    <w:rsid w:val="007670C4"/>
    <w:rsid w:val="00771424"/>
    <w:rsid w:val="007730E7"/>
    <w:rsid w:val="00774361"/>
    <w:rsid w:val="00776ED8"/>
    <w:rsid w:val="00782981"/>
    <w:rsid w:val="00786820"/>
    <w:rsid w:val="00786FD3"/>
    <w:rsid w:val="00790230"/>
    <w:rsid w:val="007905BE"/>
    <w:rsid w:val="007912BE"/>
    <w:rsid w:val="00792F03"/>
    <w:rsid w:val="00794EF1"/>
    <w:rsid w:val="007A655B"/>
    <w:rsid w:val="007B03F8"/>
    <w:rsid w:val="007B6277"/>
    <w:rsid w:val="007C2239"/>
    <w:rsid w:val="007C5ED1"/>
    <w:rsid w:val="007D08D7"/>
    <w:rsid w:val="007D4C72"/>
    <w:rsid w:val="007D54A7"/>
    <w:rsid w:val="007D7281"/>
    <w:rsid w:val="007E040B"/>
    <w:rsid w:val="007E177A"/>
    <w:rsid w:val="007E4AEA"/>
    <w:rsid w:val="007E4E8E"/>
    <w:rsid w:val="007E4EDC"/>
    <w:rsid w:val="007F33ED"/>
    <w:rsid w:val="007F43D5"/>
    <w:rsid w:val="007F4B9B"/>
    <w:rsid w:val="007F51B8"/>
    <w:rsid w:val="007F554B"/>
    <w:rsid w:val="007F76C0"/>
    <w:rsid w:val="007F78DC"/>
    <w:rsid w:val="008027C6"/>
    <w:rsid w:val="00803C2B"/>
    <w:rsid w:val="0081096F"/>
    <w:rsid w:val="0081180C"/>
    <w:rsid w:val="00815B57"/>
    <w:rsid w:val="008209F5"/>
    <w:rsid w:val="00823BE7"/>
    <w:rsid w:val="008259DD"/>
    <w:rsid w:val="00826084"/>
    <w:rsid w:val="00826D6A"/>
    <w:rsid w:val="00830CCA"/>
    <w:rsid w:val="00831CCF"/>
    <w:rsid w:val="00833326"/>
    <w:rsid w:val="00834C78"/>
    <w:rsid w:val="0084113B"/>
    <w:rsid w:val="008504A7"/>
    <w:rsid w:val="008532B6"/>
    <w:rsid w:val="00853376"/>
    <w:rsid w:val="00853A60"/>
    <w:rsid w:val="00853DE5"/>
    <w:rsid w:val="00853E7C"/>
    <w:rsid w:val="00857B83"/>
    <w:rsid w:val="00860D49"/>
    <w:rsid w:val="00867AFE"/>
    <w:rsid w:val="00871574"/>
    <w:rsid w:val="0087255F"/>
    <w:rsid w:val="0087413D"/>
    <w:rsid w:val="00881FB1"/>
    <w:rsid w:val="00883D54"/>
    <w:rsid w:val="0088502D"/>
    <w:rsid w:val="0089027B"/>
    <w:rsid w:val="008911D8"/>
    <w:rsid w:val="00893749"/>
    <w:rsid w:val="00894126"/>
    <w:rsid w:val="00895525"/>
    <w:rsid w:val="00897143"/>
    <w:rsid w:val="008A173E"/>
    <w:rsid w:val="008A3187"/>
    <w:rsid w:val="008A35F8"/>
    <w:rsid w:val="008A5912"/>
    <w:rsid w:val="008A5F12"/>
    <w:rsid w:val="008A7864"/>
    <w:rsid w:val="008B0E11"/>
    <w:rsid w:val="008B11C1"/>
    <w:rsid w:val="008B323B"/>
    <w:rsid w:val="008B37FA"/>
    <w:rsid w:val="008C01FD"/>
    <w:rsid w:val="008C228B"/>
    <w:rsid w:val="008C3778"/>
    <w:rsid w:val="008D0100"/>
    <w:rsid w:val="008D1021"/>
    <w:rsid w:val="008D54FA"/>
    <w:rsid w:val="008E044F"/>
    <w:rsid w:val="008E2812"/>
    <w:rsid w:val="008E4F16"/>
    <w:rsid w:val="008F5A55"/>
    <w:rsid w:val="008F71DB"/>
    <w:rsid w:val="00901A89"/>
    <w:rsid w:val="0090359A"/>
    <w:rsid w:val="00904B3C"/>
    <w:rsid w:val="00913626"/>
    <w:rsid w:val="009144A4"/>
    <w:rsid w:val="00914636"/>
    <w:rsid w:val="00914730"/>
    <w:rsid w:val="00915A9C"/>
    <w:rsid w:val="00916F15"/>
    <w:rsid w:val="00920AF2"/>
    <w:rsid w:val="00921984"/>
    <w:rsid w:val="0092563D"/>
    <w:rsid w:val="00931C46"/>
    <w:rsid w:val="009322E1"/>
    <w:rsid w:val="009324F1"/>
    <w:rsid w:val="00933132"/>
    <w:rsid w:val="0093679B"/>
    <w:rsid w:val="009368B1"/>
    <w:rsid w:val="00943BF5"/>
    <w:rsid w:val="00945AA8"/>
    <w:rsid w:val="00950678"/>
    <w:rsid w:val="00951861"/>
    <w:rsid w:val="0095434F"/>
    <w:rsid w:val="009575D6"/>
    <w:rsid w:val="009611A1"/>
    <w:rsid w:val="00964A7F"/>
    <w:rsid w:val="00965C6B"/>
    <w:rsid w:val="009675D0"/>
    <w:rsid w:val="009727ED"/>
    <w:rsid w:val="009745D8"/>
    <w:rsid w:val="009769BC"/>
    <w:rsid w:val="00980DFC"/>
    <w:rsid w:val="009914A1"/>
    <w:rsid w:val="00994D77"/>
    <w:rsid w:val="009962A0"/>
    <w:rsid w:val="009B76D1"/>
    <w:rsid w:val="009B7A4E"/>
    <w:rsid w:val="009C237D"/>
    <w:rsid w:val="009C493F"/>
    <w:rsid w:val="009C4D0A"/>
    <w:rsid w:val="009C6FBB"/>
    <w:rsid w:val="009D111D"/>
    <w:rsid w:val="009D257F"/>
    <w:rsid w:val="009D6C75"/>
    <w:rsid w:val="009E04CF"/>
    <w:rsid w:val="009E118E"/>
    <w:rsid w:val="009E2E67"/>
    <w:rsid w:val="009F1B43"/>
    <w:rsid w:val="009F2365"/>
    <w:rsid w:val="009F5033"/>
    <w:rsid w:val="00A007BE"/>
    <w:rsid w:val="00A05A29"/>
    <w:rsid w:val="00A06026"/>
    <w:rsid w:val="00A17CE8"/>
    <w:rsid w:val="00A20062"/>
    <w:rsid w:val="00A25090"/>
    <w:rsid w:val="00A25147"/>
    <w:rsid w:val="00A2565E"/>
    <w:rsid w:val="00A25BAF"/>
    <w:rsid w:val="00A32997"/>
    <w:rsid w:val="00A36CDA"/>
    <w:rsid w:val="00A375A8"/>
    <w:rsid w:val="00A37852"/>
    <w:rsid w:val="00A40435"/>
    <w:rsid w:val="00A413AB"/>
    <w:rsid w:val="00A41AB9"/>
    <w:rsid w:val="00A425BC"/>
    <w:rsid w:val="00A44848"/>
    <w:rsid w:val="00A45F62"/>
    <w:rsid w:val="00A50D1A"/>
    <w:rsid w:val="00A50F66"/>
    <w:rsid w:val="00A5531A"/>
    <w:rsid w:val="00A57AAD"/>
    <w:rsid w:val="00A60A01"/>
    <w:rsid w:val="00A61496"/>
    <w:rsid w:val="00A617A3"/>
    <w:rsid w:val="00A62A81"/>
    <w:rsid w:val="00A62B07"/>
    <w:rsid w:val="00A7469C"/>
    <w:rsid w:val="00A74F23"/>
    <w:rsid w:val="00A760FC"/>
    <w:rsid w:val="00A768E0"/>
    <w:rsid w:val="00A852DC"/>
    <w:rsid w:val="00A9119F"/>
    <w:rsid w:val="00A91E67"/>
    <w:rsid w:val="00AA1809"/>
    <w:rsid w:val="00AA20B0"/>
    <w:rsid w:val="00AA66D7"/>
    <w:rsid w:val="00AB176D"/>
    <w:rsid w:val="00AB3315"/>
    <w:rsid w:val="00AB4DF8"/>
    <w:rsid w:val="00AB74AB"/>
    <w:rsid w:val="00AC0FD3"/>
    <w:rsid w:val="00AC19AB"/>
    <w:rsid w:val="00AD25AE"/>
    <w:rsid w:val="00AD64CC"/>
    <w:rsid w:val="00AE02B2"/>
    <w:rsid w:val="00AE45FC"/>
    <w:rsid w:val="00AE6EB1"/>
    <w:rsid w:val="00AF13E1"/>
    <w:rsid w:val="00AF150B"/>
    <w:rsid w:val="00AF1BB1"/>
    <w:rsid w:val="00AF45E2"/>
    <w:rsid w:val="00AF641A"/>
    <w:rsid w:val="00AF6E07"/>
    <w:rsid w:val="00AF77F8"/>
    <w:rsid w:val="00B01086"/>
    <w:rsid w:val="00B025A1"/>
    <w:rsid w:val="00B03EE4"/>
    <w:rsid w:val="00B057E6"/>
    <w:rsid w:val="00B07D4C"/>
    <w:rsid w:val="00B105F2"/>
    <w:rsid w:val="00B11872"/>
    <w:rsid w:val="00B23B6C"/>
    <w:rsid w:val="00B2619A"/>
    <w:rsid w:val="00B30018"/>
    <w:rsid w:val="00B30E97"/>
    <w:rsid w:val="00B33B5C"/>
    <w:rsid w:val="00B34AB2"/>
    <w:rsid w:val="00B355D6"/>
    <w:rsid w:val="00B44CEE"/>
    <w:rsid w:val="00B553CF"/>
    <w:rsid w:val="00B556DF"/>
    <w:rsid w:val="00B627D8"/>
    <w:rsid w:val="00B663E2"/>
    <w:rsid w:val="00B70F2A"/>
    <w:rsid w:val="00B72C9D"/>
    <w:rsid w:val="00B87A95"/>
    <w:rsid w:val="00B96D39"/>
    <w:rsid w:val="00B9796D"/>
    <w:rsid w:val="00B979D8"/>
    <w:rsid w:val="00B979EC"/>
    <w:rsid w:val="00BA460E"/>
    <w:rsid w:val="00BA482E"/>
    <w:rsid w:val="00BA5E00"/>
    <w:rsid w:val="00BA68D1"/>
    <w:rsid w:val="00BA72B7"/>
    <w:rsid w:val="00BB3EC1"/>
    <w:rsid w:val="00BB6709"/>
    <w:rsid w:val="00BD44DC"/>
    <w:rsid w:val="00BD4CF8"/>
    <w:rsid w:val="00BE21E6"/>
    <w:rsid w:val="00BE27FA"/>
    <w:rsid w:val="00BE58AF"/>
    <w:rsid w:val="00BE5B3C"/>
    <w:rsid w:val="00BE7CDA"/>
    <w:rsid w:val="00BF22EA"/>
    <w:rsid w:val="00BF5C3C"/>
    <w:rsid w:val="00C033C2"/>
    <w:rsid w:val="00C05A3D"/>
    <w:rsid w:val="00C0613E"/>
    <w:rsid w:val="00C1512A"/>
    <w:rsid w:val="00C163F6"/>
    <w:rsid w:val="00C201A3"/>
    <w:rsid w:val="00C21968"/>
    <w:rsid w:val="00C27F4A"/>
    <w:rsid w:val="00C30C29"/>
    <w:rsid w:val="00C341FA"/>
    <w:rsid w:val="00C370BD"/>
    <w:rsid w:val="00C43178"/>
    <w:rsid w:val="00C52258"/>
    <w:rsid w:val="00C52822"/>
    <w:rsid w:val="00C568FB"/>
    <w:rsid w:val="00C60BA1"/>
    <w:rsid w:val="00C64174"/>
    <w:rsid w:val="00C67DD7"/>
    <w:rsid w:val="00C70FE2"/>
    <w:rsid w:val="00C82950"/>
    <w:rsid w:val="00C82E83"/>
    <w:rsid w:val="00C82FA6"/>
    <w:rsid w:val="00C8330A"/>
    <w:rsid w:val="00C8449D"/>
    <w:rsid w:val="00C91A59"/>
    <w:rsid w:val="00C92554"/>
    <w:rsid w:val="00C95364"/>
    <w:rsid w:val="00C97AA5"/>
    <w:rsid w:val="00CA1392"/>
    <w:rsid w:val="00CA2368"/>
    <w:rsid w:val="00CA2958"/>
    <w:rsid w:val="00CA646F"/>
    <w:rsid w:val="00CA654F"/>
    <w:rsid w:val="00CA7723"/>
    <w:rsid w:val="00CA794B"/>
    <w:rsid w:val="00CB046B"/>
    <w:rsid w:val="00CB36D1"/>
    <w:rsid w:val="00CB4342"/>
    <w:rsid w:val="00CC2C8E"/>
    <w:rsid w:val="00CC3131"/>
    <w:rsid w:val="00CD20FF"/>
    <w:rsid w:val="00CD35D6"/>
    <w:rsid w:val="00CE1373"/>
    <w:rsid w:val="00CE15EC"/>
    <w:rsid w:val="00CE17E2"/>
    <w:rsid w:val="00CE7B77"/>
    <w:rsid w:val="00CF137B"/>
    <w:rsid w:val="00CF2FBD"/>
    <w:rsid w:val="00CF3F26"/>
    <w:rsid w:val="00CF4D58"/>
    <w:rsid w:val="00CF5759"/>
    <w:rsid w:val="00D00E2E"/>
    <w:rsid w:val="00D02061"/>
    <w:rsid w:val="00D03796"/>
    <w:rsid w:val="00D067D4"/>
    <w:rsid w:val="00D1203D"/>
    <w:rsid w:val="00D1347A"/>
    <w:rsid w:val="00D138F2"/>
    <w:rsid w:val="00D14145"/>
    <w:rsid w:val="00D172E5"/>
    <w:rsid w:val="00D17657"/>
    <w:rsid w:val="00D25B90"/>
    <w:rsid w:val="00D2615A"/>
    <w:rsid w:val="00D27005"/>
    <w:rsid w:val="00D27DC4"/>
    <w:rsid w:val="00D304EC"/>
    <w:rsid w:val="00D32585"/>
    <w:rsid w:val="00D3318E"/>
    <w:rsid w:val="00D337F5"/>
    <w:rsid w:val="00D35634"/>
    <w:rsid w:val="00D42910"/>
    <w:rsid w:val="00D47BA6"/>
    <w:rsid w:val="00D5029B"/>
    <w:rsid w:val="00D5309B"/>
    <w:rsid w:val="00D54E4C"/>
    <w:rsid w:val="00D60C9C"/>
    <w:rsid w:val="00D61D9F"/>
    <w:rsid w:val="00D61F87"/>
    <w:rsid w:val="00D625A0"/>
    <w:rsid w:val="00D65112"/>
    <w:rsid w:val="00D71D9C"/>
    <w:rsid w:val="00D71FA3"/>
    <w:rsid w:val="00D74CC6"/>
    <w:rsid w:val="00D80F23"/>
    <w:rsid w:val="00D86F28"/>
    <w:rsid w:val="00D876F6"/>
    <w:rsid w:val="00D94B2B"/>
    <w:rsid w:val="00D96A28"/>
    <w:rsid w:val="00DA22AC"/>
    <w:rsid w:val="00DB047F"/>
    <w:rsid w:val="00DC0A5F"/>
    <w:rsid w:val="00DD0865"/>
    <w:rsid w:val="00DD781A"/>
    <w:rsid w:val="00DD7AEC"/>
    <w:rsid w:val="00DE4026"/>
    <w:rsid w:val="00DE47DC"/>
    <w:rsid w:val="00DE72E3"/>
    <w:rsid w:val="00DF64DD"/>
    <w:rsid w:val="00DF75DA"/>
    <w:rsid w:val="00DF7B5A"/>
    <w:rsid w:val="00E01980"/>
    <w:rsid w:val="00E02871"/>
    <w:rsid w:val="00E02CE6"/>
    <w:rsid w:val="00E05697"/>
    <w:rsid w:val="00E10CA9"/>
    <w:rsid w:val="00E10CAD"/>
    <w:rsid w:val="00E1235F"/>
    <w:rsid w:val="00E12498"/>
    <w:rsid w:val="00E12B33"/>
    <w:rsid w:val="00E1438A"/>
    <w:rsid w:val="00E1683C"/>
    <w:rsid w:val="00E23FED"/>
    <w:rsid w:val="00E25F40"/>
    <w:rsid w:val="00E3082C"/>
    <w:rsid w:val="00E36A46"/>
    <w:rsid w:val="00E41D3C"/>
    <w:rsid w:val="00E42F0D"/>
    <w:rsid w:val="00E43EEA"/>
    <w:rsid w:val="00E454EC"/>
    <w:rsid w:val="00E470F5"/>
    <w:rsid w:val="00E569BB"/>
    <w:rsid w:val="00E64A5B"/>
    <w:rsid w:val="00E71DAA"/>
    <w:rsid w:val="00E77B69"/>
    <w:rsid w:val="00E8075D"/>
    <w:rsid w:val="00E86CE7"/>
    <w:rsid w:val="00EA3D9A"/>
    <w:rsid w:val="00EA4A66"/>
    <w:rsid w:val="00EA5F37"/>
    <w:rsid w:val="00EB11A1"/>
    <w:rsid w:val="00EB497E"/>
    <w:rsid w:val="00EB672D"/>
    <w:rsid w:val="00EC1A09"/>
    <w:rsid w:val="00EC33DA"/>
    <w:rsid w:val="00EC55BD"/>
    <w:rsid w:val="00EC56C5"/>
    <w:rsid w:val="00EC5C8C"/>
    <w:rsid w:val="00ED1890"/>
    <w:rsid w:val="00ED5107"/>
    <w:rsid w:val="00ED568F"/>
    <w:rsid w:val="00ED686C"/>
    <w:rsid w:val="00EE3451"/>
    <w:rsid w:val="00EE4E45"/>
    <w:rsid w:val="00EE74EB"/>
    <w:rsid w:val="00EF4A83"/>
    <w:rsid w:val="00EF4D56"/>
    <w:rsid w:val="00EF5624"/>
    <w:rsid w:val="00EF7FF9"/>
    <w:rsid w:val="00F02EC4"/>
    <w:rsid w:val="00F03CFC"/>
    <w:rsid w:val="00F05EDA"/>
    <w:rsid w:val="00F16202"/>
    <w:rsid w:val="00F24D36"/>
    <w:rsid w:val="00F26D1C"/>
    <w:rsid w:val="00F27515"/>
    <w:rsid w:val="00F3025F"/>
    <w:rsid w:val="00F3187C"/>
    <w:rsid w:val="00F34A0B"/>
    <w:rsid w:val="00F43FBC"/>
    <w:rsid w:val="00F47963"/>
    <w:rsid w:val="00F5357A"/>
    <w:rsid w:val="00F54063"/>
    <w:rsid w:val="00F560FD"/>
    <w:rsid w:val="00F62626"/>
    <w:rsid w:val="00F63002"/>
    <w:rsid w:val="00F64C54"/>
    <w:rsid w:val="00F70D4F"/>
    <w:rsid w:val="00F7540E"/>
    <w:rsid w:val="00F808DF"/>
    <w:rsid w:val="00F82A88"/>
    <w:rsid w:val="00F85145"/>
    <w:rsid w:val="00F86093"/>
    <w:rsid w:val="00F8753F"/>
    <w:rsid w:val="00F90558"/>
    <w:rsid w:val="00F9258B"/>
    <w:rsid w:val="00F9597E"/>
    <w:rsid w:val="00F95B16"/>
    <w:rsid w:val="00FA062D"/>
    <w:rsid w:val="00FA1C70"/>
    <w:rsid w:val="00FA22A3"/>
    <w:rsid w:val="00FA472D"/>
    <w:rsid w:val="00FA7665"/>
    <w:rsid w:val="00FA7814"/>
    <w:rsid w:val="00FB3467"/>
    <w:rsid w:val="00FB3A7C"/>
    <w:rsid w:val="00FB3D40"/>
    <w:rsid w:val="00FB42C4"/>
    <w:rsid w:val="00FC2394"/>
    <w:rsid w:val="00FC38C4"/>
    <w:rsid w:val="00FC6440"/>
    <w:rsid w:val="00FC6F41"/>
    <w:rsid w:val="00FD7C5E"/>
    <w:rsid w:val="00FE7166"/>
    <w:rsid w:val="0BFC5617"/>
    <w:rsid w:val="1D67468E"/>
    <w:rsid w:val="1EF7560C"/>
    <w:rsid w:val="1FD224BF"/>
    <w:rsid w:val="245269E5"/>
    <w:rsid w:val="24F9030D"/>
    <w:rsid w:val="5E5341F0"/>
    <w:rsid w:val="657506FD"/>
    <w:rsid w:val="6D17527B"/>
    <w:rsid w:val="6DDA260E"/>
    <w:rsid w:val="77386D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iPriority="9"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en-US" w:eastAsia="en-US" w:bidi="ar-SA"/>
    </w:rPr>
  </w:style>
  <w:style w:type="paragraph" w:styleId="2">
    <w:name w:val="heading 1"/>
    <w:basedOn w:val="1"/>
    <w:next w:val="1"/>
    <w:autoRedefine/>
    <w:qFormat/>
    <w:uiPriority w:val="1"/>
    <w:pPr>
      <w:ind w:left="609"/>
      <w:outlineLvl w:val="0"/>
    </w:pPr>
    <w:rPr>
      <w:b/>
      <w:bCs/>
      <w:sz w:val="29"/>
      <w:szCs w:val="29"/>
    </w:rPr>
  </w:style>
  <w:style w:type="paragraph" w:styleId="3">
    <w:name w:val="heading 2"/>
    <w:basedOn w:val="1"/>
    <w:next w:val="1"/>
    <w:link w:val="21"/>
    <w:autoRedefine/>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7"/>
    <w:unhideWhenUsed/>
    <w:qFormat/>
    <w:uiPriority w:val="9"/>
    <w:pPr>
      <w:keepNext/>
      <w:keepLines/>
      <w:spacing w:before="260" w:after="260" w:line="416" w:lineRule="auto"/>
      <w:outlineLvl w:val="2"/>
    </w:pPr>
    <w:rPr>
      <w:b/>
      <w:bCs/>
      <w:sz w:val="32"/>
      <w:szCs w:val="32"/>
    </w:rPr>
  </w:style>
  <w:style w:type="character" w:default="1" w:styleId="14">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5">
    <w:name w:val="annotation text"/>
    <w:basedOn w:val="1"/>
    <w:link w:val="25"/>
    <w:autoRedefine/>
    <w:semiHidden/>
    <w:unhideWhenUsed/>
    <w:qFormat/>
    <w:uiPriority w:val="99"/>
  </w:style>
  <w:style w:type="paragraph" w:styleId="6">
    <w:name w:val="Body Text"/>
    <w:basedOn w:val="1"/>
    <w:link w:val="22"/>
    <w:qFormat/>
    <w:uiPriority w:val="1"/>
    <w:rPr>
      <w:sz w:val="24"/>
      <w:szCs w:val="24"/>
    </w:rPr>
  </w:style>
  <w:style w:type="paragraph" w:styleId="7">
    <w:name w:val="Balloon Text"/>
    <w:basedOn w:val="1"/>
    <w:link w:val="23"/>
    <w:autoRedefine/>
    <w:semiHidden/>
    <w:unhideWhenUsed/>
    <w:qFormat/>
    <w:uiPriority w:val="99"/>
    <w:rPr>
      <w:sz w:val="18"/>
      <w:szCs w:val="18"/>
    </w:rPr>
  </w:style>
  <w:style w:type="paragraph" w:styleId="8">
    <w:name w:val="footer"/>
    <w:basedOn w:val="1"/>
    <w:link w:val="24"/>
    <w:autoRedefine/>
    <w:qFormat/>
    <w:uiPriority w:val="99"/>
    <w:pPr>
      <w:tabs>
        <w:tab w:val="center" w:pos="4153"/>
        <w:tab w:val="right" w:pos="8306"/>
      </w:tabs>
      <w:autoSpaceDE/>
      <w:autoSpaceDN/>
      <w:snapToGrid w:val="0"/>
      <w:ind w:firstLine="643" w:firstLineChars="200"/>
    </w:pPr>
    <w:rPr>
      <w:rFonts w:asciiTheme="minorHAnsi" w:hAnsiTheme="minorHAnsi" w:eastAsiaTheme="minorEastAsia" w:cstheme="minorBidi"/>
      <w:kern w:val="2"/>
      <w:sz w:val="18"/>
      <w:szCs w:val="18"/>
      <w:lang w:eastAsia="zh-CN"/>
    </w:rPr>
  </w:style>
  <w:style w:type="paragraph" w:styleId="9">
    <w:name w:val="toc 1"/>
    <w:basedOn w:val="1"/>
    <w:next w:val="1"/>
    <w:autoRedefine/>
    <w:qFormat/>
    <w:uiPriority w:val="39"/>
    <w:pPr>
      <w:spacing w:before="265"/>
      <w:ind w:left="609"/>
    </w:pPr>
    <w:rPr>
      <w:sz w:val="28"/>
      <w:szCs w:val="28"/>
    </w:rPr>
  </w:style>
  <w:style w:type="paragraph" w:styleId="10">
    <w:name w:val="Normal (Web)"/>
    <w:basedOn w:val="1"/>
    <w:autoRedefine/>
    <w:semiHidden/>
    <w:unhideWhenUsed/>
    <w:qFormat/>
    <w:uiPriority w:val="99"/>
    <w:pPr>
      <w:widowControl/>
      <w:autoSpaceDE/>
      <w:autoSpaceDN/>
      <w:spacing w:before="100" w:beforeAutospacing="1" w:after="100" w:afterAutospacing="1"/>
    </w:pPr>
    <w:rPr>
      <w:sz w:val="24"/>
      <w:szCs w:val="24"/>
      <w:lang w:eastAsia="zh-CN"/>
    </w:rPr>
  </w:style>
  <w:style w:type="paragraph" w:styleId="11">
    <w:name w:val="annotation subject"/>
    <w:basedOn w:val="5"/>
    <w:next w:val="5"/>
    <w:link w:val="26"/>
    <w:semiHidden/>
    <w:unhideWhenUsed/>
    <w:qFormat/>
    <w:uiPriority w:val="99"/>
    <w:rPr>
      <w:b/>
      <w:bCs/>
    </w:rPr>
  </w:style>
  <w:style w:type="table" w:styleId="13">
    <w:name w:val="Table Grid"/>
    <w:basedOn w:val="12"/>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unhideWhenUsed/>
    <w:qFormat/>
    <w:uiPriority w:val="99"/>
    <w:rPr>
      <w:color w:val="0000FF" w:themeColor="hyperlink"/>
      <w:u w:val="single"/>
      <w14:textFill>
        <w14:solidFill>
          <w14:schemeClr w14:val="hlink"/>
        </w14:solidFill>
      </w14:textFill>
    </w:rPr>
  </w:style>
  <w:style w:type="character" w:styleId="16">
    <w:name w:val="annotation reference"/>
    <w:basedOn w:val="14"/>
    <w:semiHidden/>
    <w:unhideWhenUsed/>
    <w:qFormat/>
    <w:uiPriority w:val="99"/>
    <w:rPr>
      <w:sz w:val="21"/>
      <w:szCs w:val="21"/>
    </w:rPr>
  </w:style>
  <w:style w:type="character" w:customStyle="1" w:styleId="17">
    <w:name w:val="标题 3 字符"/>
    <w:basedOn w:val="14"/>
    <w:link w:val="4"/>
    <w:autoRedefine/>
    <w:qFormat/>
    <w:uiPriority w:val="9"/>
    <w:rPr>
      <w:rFonts w:ascii="宋体" w:hAnsi="宋体" w:eastAsia="宋体" w:cs="宋体"/>
      <w:b/>
      <w:bCs/>
      <w:sz w:val="32"/>
      <w:szCs w:val="32"/>
    </w:rPr>
  </w:style>
  <w:style w:type="table" w:customStyle="1" w:styleId="18">
    <w:name w:val="Table Normal"/>
    <w:autoRedefine/>
    <w:semiHidden/>
    <w:unhideWhenUsed/>
    <w:qFormat/>
    <w:uiPriority w:val="2"/>
    <w:tblPr>
      <w:tblCellMar>
        <w:top w:w="0" w:type="dxa"/>
        <w:left w:w="0" w:type="dxa"/>
        <w:bottom w:w="0" w:type="dxa"/>
        <w:right w:w="0" w:type="dxa"/>
      </w:tblCellMar>
    </w:tblPr>
  </w:style>
  <w:style w:type="paragraph" w:styleId="19">
    <w:name w:val="List Paragraph"/>
    <w:basedOn w:val="1"/>
    <w:autoRedefine/>
    <w:qFormat/>
    <w:uiPriority w:val="1"/>
    <w:pPr>
      <w:spacing w:before="161"/>
      <w:ind w:left="1897" w:hanging="721"/>
    </w:pPr>
  </w:style>
  <w:style w:type="paragraph" w:customStyle="1" w:styleId="20">
    <w:name w:val="Table Paragraph"/>
    <w:basedOn w:val="1"/>
    <w:autoRedefine/>
    <w:qFormat/>
    <w:uiPriority w:val="1"/>
  </w:style>
  <w:style w:type="character" w:customStyle="1" w:styleId="21">
    <w:name w:val="标题 2 字符"/>
    <w:basedOn w:val="14"/>
    <w:link w:val="3"/>
    <w:autoRedefine/>
    <w:semiHidden/>
    <w:qFormat/>
    <w:uiPriority w:val="9"/>
    <w:rPr>
      <w:rFonts w:asciiTheme="majorHAnsi" w:hAnsiTheme="majorHAnsi" w:eastAsiaTheme="majorEastAsia" w:cstheme="majorBidi"/>
      <w:b/>
      <w:bCs/>
      <w:sz w:val="32"/>
      <w:szCs w:val="32"/>
    </w:rPr>
  </w:style>
  <w:style w:type="character" w:customStyle="1" w:styleId="22">
    <w:name w:val="正文文本 字符"/>
    <w:basedOn w:val="14"/>
    <w:link w:val="6"/>
    <w:autoRedefine/>
    <w:qFormat/>
    <w:uiPriority w:val="1"/>
    <w:rPr>
      <w:rFonts w:ascii="宋体" w:hAnsi="宋体" w:eastAsia="宋体" w:cs="宋体"/>
      <w:sz w:val="24"/>
      <w:szCs w:val="24"/>
    </w:rPr>
  </w:style>
  <w:style w:type="character" w:customStyle="1" w:styleId="23">
    <w:name w:val="批注框文本 字符"/>
    <w:basedOn w:val="14"/>
    <w:link w:val="7"/>
    <w:autoRedefine/>
    <w:semiHidden/>
    <w:qFormat/>
    <w:uiPriority w:val="99"/>
    <w:rPr>
      <w:rFonts w:ascii="宋体" w:hAnsi="宋体" w:eastAsia="宋体" w:cs="宋体"/>
      <w:sz w:val="18"/>
      <w:szCs w:val="18"/>
    </w:rPr>
  </w:style>
  <w:style w:type="character" w:customStyle="1" w:styleId="24">
    <w:name w:val="页脚 字符"/>
    <w:basedOn w:val="14"/>
    <w:link w:val="8"/>
    <w:autoRedefine/>
    <w:qFormat/>
    <w:uiPriority w:val="99"/>
    <w:rPr>
      <w:kern w:val="2"/>
      <w:sz w:val="18"/>
      <w:szCs w:val="18"/>
      <w:lang w:eastAsia="zh-CN"/>
    </w:rPr>
  </w:style>
  <w:style w:type="character" w:customStyle="1" w:styleId="25">
    <w:name w:val="批注文字 字符"/>
    <w:basedOn w:val="14"/>
    <w:link w:val="5"/>
    <w:autoRedefine/>
    <w:semiHidden/>
    <w:qFormat/>
    <w:uiPriority w:val="99"/>
    <w:rPr>
      <w:rFonts w:ascii="宋体" w:hAnsi="宋体" w:eastAsia="宋体" w:cs="宋体"/>
    </w:rPr>
  </w:style>
  <w:style w:type="character" w:customStyle="1" w:styleId="26">
    <w:name w:val="批注主题 字符"/>
    <w:basedOn w:val="25"/>
    <w:link w:val="11"/>
    <w:autoRedefine/>
    <w:semiHidden/>
    <w:qFormat/>
    <w:uiPriority w:val="99"/>
    <w:rPr>
      <w:rFonts w:ascii="宋体" w:hAnsi="宋体" w:eastAsia="宋体" w:cs="宋体"/>
      <w:b/>
      <w:bCs/>
    </w:rPr>
  </w:style>
  <w:style w:type="character" w:customStyle="1" w:styleId="27">
    <w:name w:val="Body text|2_"/>
    <w:basedOn w:val="14"/>
    <w:link w:val="28"/>
    <w:autoRedefine/>
    <w:qFormat/>
    <w:uiPriority w:val="0"/>
    <w:rPr>
      <w:lang w:val="zh-TW" w:eastAsia="zh-TW" w:bidi="zh-TW"/>
    </w:rPr>
  </w:style>
  <w:style w:type="paragraph" w:customStyle="1" w:styleId="28">
    <w:name w:val="Body text|2"/>
    <w:basedOn w:val="1"/>
    <w:link w:val="27"/>
    <w:autoRedefine/>
    <w:qFormat/>
    <w:uiPriority w:val="0"/>
    <w:pPr>
      <w:autoSpaceDE/>
      <w:autoSpaceDN/>
      <w:spacing w:line="276" w:lineRule="auto"/>
      <w:ind w:firstLine="420"/>
    </w:pPr>
    <w:rPr>
      <w:rFonts w:asciiTheme="minorHAnsi" w:hAnsiTheme="minorHAnsi" w:eastAsiaTheme="minorEastAsia" w:cstheme="minorBidi"/>
      <w:lang w:val="zh-TW" w:eastAsia="zh-TW" w:bidi="zh-TW"/>
    </w:rPr>
  </w:style>
  <w:style w:type="paragraph" w:customStyle="1" w:styleId="29">
    <w:name w:val="Revision"/>
    <w:hidden/>
    <w:unhideWhenUsed/>
    <w:qFormat/>
    <w:uiPriority w:val="99"/>
    <w:rPr>
      <w:rFonts w:ascii="宋体" w:hAnsi="宋体" w:eastAsia="宋体" w:cs="宋体"/>
      <w:sz w:val="22"/>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583E40A-E9EA-46D5-977E-0D4B1C113225}">
  <ds:schemaRefs/>
</ds:datastoreItem>
</file>

<file path=docProps/app.xml><?xml version="1.0" encoding="utf-8"?>
<Properties xmlns="http://schemas.openxmlformats.org/officeDocument/2006/extended-properties" xmlns:vt="http://schemas.openxmlformats.org/officeDocument/2006/docPropsVTypes">
  <Template>Normal.dotm</Template>
  <Pages>14</Pages>
  <Words>6818</Words>
  <Characters>7170</Characters>
  <Lines>58</Lines>
  <Paragraphs>16</Paragraphs>
  <TotalTime>391</TotalTime>
  <ScaleCrop>false</ScaleCrop>
  <LinksUpToDate>false</LinksUpToDate>
  <CharactersWithSpaces>7397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2023-02-09T10:53:00Z</dcterms:created>
  <dc:creator>郭葳</dc:creator>
  <cp:lastModifiedBy>薛永华</cp:lastModifiedBy>
  <dcterms:modified xsi:type="dcterms:W3CDTF">2026-02-03T02:05:09Z</dcterms:modified>
  <dc:title>集装箱码头超限箱作业规程-编写说明</dc:title>
  <cp:revision>276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2022-08-22T00:00:00Z</vt:filetime>
  </property>
  <property fmtid="{D5CDD505-2E9C-101B-9397-08002B2CF9AE}" pid="3" name="Creator">
    <vt:lpwstr>Word</vt:lpwstr>
  </property>
  <property fmtid="{D5CDD505-2E9C-101B-9397-08002B2CF9AE}" pid="4" name="LastSaved">
    <vt:filetime>2023-02-06T00:00:00Z</vt:filetime>
  </property>
  <property fmtid="{D5CDD505-2E9C-101B-9397-08002B2CF9AE}" pid="5" name="KSOProductBuildVer">
    <vt:lpwstr>2052-12.1.0.24657</vt:lpwstr>
  </property>
  <property fmtid="{D5CDD505-2E9C-101B-9397-08002B2CF9AE}" pid="6" name="ICV">
    <vt:lpwstr>28DB7DEE20714983A53B6F0615B0D185_13</vt:lpwstr>
  </property>
  <property fmtid="{D5CDD505-2E9C-101B-9397-08002B2CF9AE}" pid="7" name="KSOTemplateDocerSaveRecord">
    <vt:lpwstr>eyJoZGlkIjoiNGRjN2E4OWViYjI5YmNiMzg1Y2I3YTQ0NmJlODA0ZTciLCJ1c2VySWQiOiIzNzE0OTEyMTgifQ==</vt:lpwstr>
  </property>
</Properties>
</file>