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9A27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6569A10">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3615FB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11FED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893F69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F4F57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0F670C4B">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21CEB4E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7997AF44">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中国港口协会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B2BBAEA">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7AE7C8C">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BECE30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9CE20B1">
      <w:pPr>
        <w:pStyle w:val="51"/>
        <w:framePr w:w="9639" w:h="6976" w:hRule="exact" w:hSpace="0" w:vSpace="0" w:wrap="around" w:hAnchor="page" w:y="6408"/>
        <w:jc w:val="center"/>
        <w:rPr>
          <w:rFonts w:hint="eastAsia" w:ascii="黑体" w:hAnsi="黑体" w:eastAsia="黑体"/>
          <w:b w:val="0"/>
          <w:bCs w:val="0"/>
          <w:w w:val="100"/>
        </w:rPr>
      </w:pPr>
    </w:p>
    <w:p w14:paraId="012FEC1F">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干散货码头露天堆场智能喷淋系统</w:t>
      </w:r>
    </w:p>
    <w:p w14:paraId="33C8F307">
      <w:pPr>
        <w:pStyle w:val="198"/>
        <w:framePr w:h="6974" w:hRule="exact" w:wrap="around" w:x="1419" w:anchorLock="1"/>
        <w:rPr>
          <w:rFonts w:hint="eastAsia"/>
        </w:rPr>
      </w:pPr>
      <w:r>
        <w:rPr>
          <w:rFonts w:hint="eastAsia"/>
        </w:rPr>
        <w:t>技术要求</w:t>
      </w:r>
      <w:r>
        <w:fldChar w:fldCharType="end"/>
      </w:r>
      <w:bookmarkEnd w:id="9"/>
    </w:p>
    <w:p w14:paraId="3F202D62">
      <w:pPr>
        <w:framePr w:w="9639" w:h="6974" w:hRule="exact" w:wrap="around" w:vAnchor="page" w:hAnchor="page" w:x="1419" w:y="6408" w:anchorLock="1"/>
        <w:ind w:left="-1418"/>
      </w:pPr>
    </w:p>
    <w:p w14:paraId="5079DA46">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intelligent sprinkler system for open storage yard of dry bulk cargo wharf</w:t>
      </w:r>
      <w:r>
        <w:rPr>
          <w:rFonts w:eastAsia="黑体"/>
          <w:szCs w:val="28"/>
        </w:rPr>
        <w:fldChar w:fldCharType="end"/>
      </w:r>
      <w:bookmarkEnd w:id="10"/>
    </w:p>
    <w:p w14:paraId="6DB788D1">
      <w:pPr>
        <w:framePr w:w="9639" w:h="6974" w:hRule="exact" w:wrap="around" w:vAnchor="page" w:hAnchor="page" w:x="1419" w:y="6408" w:anchorLock="1"/>
        <w:spacing w:line="760" w:lineRule="exact"/>
        <w:ind w:left="-1418"/>
      </w:pPr>
    </w:p>
    <w:p w14:paraId="3508AE84">
      <w:pPr>
        <w:pStyle w:val="126"/>
        <w:framePr w:w="9639" w:h="6974" w:hRule="exact" w:wrap="around" w:vAnchor="page" w:hAnchor="page" w:x="1419" w:y="6408" w:anchorLock="1"/>
        <w:textAlignment w:val="bottom"/>
        <w:rPr>
          <w:rFonts w:eastAsia="黑体"/>
          <w:szCs w:val="28"/>
        </w:rPr>
      </w:pPr>
    </w:p>
    <w:p w14:paraId="291BC9B5">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A15F0BC">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6C116D1">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8952472">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CA3FF0E">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A7CAD86">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中国港口协会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C19EE2E">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7E8B175">
      <w:pPr>
        <w:pStyle w:val="92"/>
        <w:spacing w:after="360"/>
      </w:pPr>
      <w:bookmarkStart w:id="21" w:name="BookMark1"/>
      <w:r>
        <w:rPr>
          <w:rFonts w:hint="eastAsia"/>
          <w:spacing w:val="320"/>
        </w:rPr>
        <w:t>目</w:t>
      </w:r>
      <w:r>
        <w:rPr>
          <w:rFonts w:hint="eastAsia"/>
        </w:rPr>
        <w:t>次</w:t>
      </w:r>
    </w:p>
    <w:p w14:paraId="48C1F74C">
      <w:pPr>
        <w:pStyle w:val="19"/>
        <w:tabs>
          <w:tab w:val="right" w:leader="dot" w:pos="9354"/>
        </w:tabs>
        <w:rPr>
          <w:rFonts w:ascii="Times New Roman" w:hAnsi="Times New Roman"/>
        </w:rPr>
      </w:pPr>
      <w:r>
        <w:fldChar w:fldCharType="begin"/>
      </w:r>
      <w:r>
        <w:instrText xml:space="preserve"> </w:instrText>
      </w:r>
      <w:r>
        <w:rPr>
          <w:rFonts w:hint="eastAsia"/>
        </w:rPr>
        <w:instrText xml:space="preserve">TOC \o "1-1" \h</w:instrText>
      </w:r>
      <w:r>
        <w:instrText xml:space="preserve"> </w:instrText>
      </w:r>
      <w:r>
        <w:fldChar w:fldCharType="separate"/>
      </w:r>
      <w:r>
        <w:rPr>
          <w:rFonts w:ascii="Times New Roman" w:hAnsi="Times New Roman"/>
        </w:rPr>
        <w:fldChar w:fldCharType="begin"/>
      </w:r>
      <w:r>
        <w:rPr>
          <w:rFonts w:ascii="Times New Roman" w:hAnsi="Times New Roman"/>
        </w:rPr>
        <w:instrText xml:space="preserve"> HYPERLINK \l _Toc1434 </w:instrText>
      </w:r>
      <w:r>
        <w:rPr>
          <w:rFonts w:ascii="Times New Roman" w:hAnsi="Times New Roman"/>
        </w:rPr>
        <w:fldChar w:fldCharType="separate"/>
      </w:r>
      <w:r>
        <w:rPr>
          <w:rFonts w:hint="default" w:ascii="Times New Roman" w:hAnsi="Times New Roman"/>
          <w:spacing w:val="320"/>
        </w:rPr>
        <w:t>前</w:t>
      </w:r>
      <w:r>
        <w:rPr>
          <w:rFonts w:hint="default" w:ascii="Times New Roman" w:hAns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_Toc1434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14:paraId="65B26291">
      <w:pPr>
        <w:pStyle w:val="19"/>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HYPERLINK \l _Toc14062 </w:instrText>
      </w:r>
      <w:r>
        <w:rPr>
          <w:rFonts w:ascii="Times New Roman" w:hAnsi="Times New Roman"/>
        </w:rPr>
        <w:fldChar w:fldCharType="separate"/>
      </w:r>
      <w:r>
        <w:rPr>
          <w:rFonts w:hint="default" w:ascii="Times New Roman" w:hAnsi="Times New Roman" w:eastAsia="黑体" w:cs="Times New Roman"/>
          <w:i w:val="0"/>
          <w:lang w:val="en-US" w:eastAsia="zh-CN" w:bidi="ar-SA"/>
        </w:rPr>
        <w:t>1　</w:t>
      </w:r>
      <w:r>
        <w:rPr>
          <w:rFonts w:hint="default" w:ascii="Times New Roman" w:hAns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_Toc14062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4D4E8BAC">
      <w:pPr>
        <w:pStyle w:val="19"/>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HYPERLINK \l _Toc24855 </w:instrText>
      </w:r>
      <w:r>
        <w:rPr>
          <w:rFonts w:ascii="Times New Roman" w:hAnsi="Times New Roman"/>
        </w:rPr>
        <w:fldChar w:fldCharType="separate"/>
      </w:r>
      <w:r>
        <w:rPr>
          <w:rFonts w:hint="default" w:ascii="Times New Roman" w:hAnsi="Times New Roman" w:eastAsia="黑体" w:cs="Times New Roman"/>
          <w:i w:val="0"/>
          <w:lang w:val="en-US" w:eastAsia="zh-CN" w:bidi="ar-SA"/>
        </w:rPr>
        <w:t>2　</w:t>
      </w:r>
      <w:r>
        <w:rPr>
          <w:rFonts w:hint="default" w:ascii="Times New Roman" w:hAns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_Toc24855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0BC7A200">
      <w:pPr>
        <w:pStyle w:val="19"/>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HYPERLINK \l _Toc23071 </w:instrText>
      </w:r>
      <w:r>
        <w:rPr>
          <w:rFonts w:ascii="Times New Roman" w:hAnsi="Times New Roman"/>
        </w:rPr>
        <w:fldChar w:fldCharType="separate"/>
      </w:r>
      <w:r>
        <w:rPr>
          <w:rFonts w:hint="default" w:ascii="Times New Roman" w:hAnsi="Times New Roman" w:eastAsia="黑体" w:cs="Times New Roman"/>
          <w:i w:val="0"/>
          <w:lang w:val="en-US" w:eastAsia="zh-CN" w:bidi="ar-SA"/>
        </w:rPr>
        <w:t>3　</w:t>
      </w:r>
      <w:r>
        <w:rPr>
          <w:rFonts w:hint="default" w:ascii="Times New Roman" w:hAnsi="Times New Roman"/>
          <w:szCs w:val="21"/>
        </w:rPr>
        <w:t>术语和定义</w:t>
      </w:r>
      <w:r>
        <w:rPr>
          <w:rFonts w:hint="default" w:ascii="Times New Roman" w:hAnsi="Times New Roman"/>
          <w:szCs w:val="21"/>
          <w:lang w:eastAsia="zh-CN"/>
        </w:rPr>
        <w:t>、</w:t>
      </w:r>
      <w:r>
        <w:rPr>
          <w:rFonts w:hint="default" w:ascii="Times New Roman" w:hAnsi="Times New Roman"/>
          <w:szCs w:val="21"/>
          <w:lang w:val="en-US" w:eastAsia="zh-CN"/>
        </w:rPr>
        <w:t>缩略语</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_Toc23071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53CDFB0">
      <w:pPr>
        <w:pStyle w:val="19"/>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HYPERLINK \l _Toc9594 </w:instrText>
      </w:r>
      <w:r>
        <w:rPr>
          <w:rFonts w:ascii="Times New Roman" w:hAnsi="Times New Roman"/>
        </w:rPr>
        <w:fldChar w:fldCharType="separate"/>
      </w:r>
      <w:r>
        <w:rPr>
          <w:rFonts w:hint="default" w:ascii="Times New Roman" w:hAnsi="Times New Roman" w:eastAsia="黑体" w:cs="Times New Roman"/>
          <w:i w:val="0"/>
          <w:lang w:val="en-US" w:eastAsia="zh-CN" w:bidi="ar-SA"/>
        </w:rPr>
        <w:t>4　</w:t>
      </w:r>
      <w:r>
        <w:rPr>
          <w:rFonts w:hint="default" w:ascii="Times New Roman" w:hAnsi="Times New Roman"/>
        </w:rPr>
        <w:t>干散货码头露天堆场智能喷淋系统构成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_Toc9594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FDF8719">
      <w:pPr>
        <w:pStyle w:val="19"/>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HYPERLINK \l _Toc10744 </w:instrText>
      </w:r>
      <w:r>
        <w:rPr>
          <w:rFonts w:ascii="Times New Roman" w:hAnsi="Times New Roman"/>
        </w:rPr>
        <w:fldChar w:fldCharType="separate"/>
      </w:r>
      <w:r>
        <w:rPr>
          <w:rFonts w:hint="default" w:ascii="Times New Roman" w:hAnsi="Times New Roman" w:eastAsia="黑体" w:cs="Times New Roman"/>
          <w:i w:val="0"/>
          <w:lang w:val="en-US" w:eastAsia="zh-CN" w:bidi="ar-SA"/>
        </w:rPr>
        <w:t>5　</w:t>
      </w:r>
      <w:r>
        <w:rPr>
          <w:rFonts w:hint="default" w:ascii="Times New Roman" w:hAnsi="Times New Roman"/>
        </w:rPr>
        <w:t>一般要求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_Toc10744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0235007D">
      <w:pPr>
        <w:pStyle w:val="19"/>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HYPERLINK \l _Toc32366 </w:instrText>
      </w:r>
      <w:r>
        <w:rPr>
          <w:rFonts w:ascii="Times New Roman" w:hAnsi="Times New Roman"/>
        </w:rPr>
        <w:fldChar w:fldCharType="separate"/>
      </w:r>
      <w:r>
        <w:rPr>
          <w:rFonts w:hint="default" w:ascii="Times New Roman" w:hAnsi="Times New Roman" w:eastAsia="黑体" w:cs="Times New Roman"/>
          <w:i w:val="0"/>
          <w:lang w:val="en-US" w:eastAsia="zh-CN" w:bidi="ar-SA"/>
        </w:rPr>
        <w:t>6　</w:t>
      </w:r>
      <w:r>
        <w:rPr>
          <w:rFonts w:hint="default" w:ascii="Times New Roman" w:hAnsi="Times New Roman"/>
        </w:rPr>
        <w:t>技术要求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_Toc32366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1C76091E">
      <w:pPr>
        <w:pStyle w:val="19"/>
        <w:tabs>
          <w:tab w:val="right" w:leader="dot" w:pos="9354"/>
        </w:tabs>
      </w:pPr>
      <w:r>
        <w:rPr>
          <w:rFonts w:ascii="Times New Roman" w:hAnsi="Times New Roman"/>
        </w:rPr>
        <w:fldChar w:fldCharType="begin"/>
      </w:r>
      <w:r>
        <w:rPr>
          <w:rFonts w:ascii="Times New Roman" w:hAnsi="Times New Roman"/>
        </w:rPr>
        <w:instrText xml:space="preserve"> HYPERLINK \l _Toc4972 </w:instrText>
      </w:r>
      <w:r>
        <w:rPr>
          <w:rFonts w:ascii="Times New Roman" w:hAnsi="Times New Roman"/>
        </w:rPr>
        <w:fldChar w:fldCharType="separate"/>
      </w:r>
      <w:r>
        <w:rPr>
          <w:rFonts w:hint="default" w:ascii="Times New Roman" w:hAnsi="Times New Roman" w:cs="Times New Roman"/>
          <w:i w:val="0"/>
          <w:lang w:val="en-US" w:eastAsia="zh-CN" w:bidi="ar-SA"/>
        </w:rPr>
        <w:t>7</w:t>
      </w:r>
      <w:r>
        <w:rPr>
          <w:rFonts w:hint="default" w:ascii="Times New Roman" w:hAnsi="Times New Roman" w:eastAsia="黑体" w:cs="Times New Roman"/>
          <w:i w:val="0"/>
          <w:lang w:val="en-US" w:eastAsia="zh-CN" w:bidi="ar-SA"/>
        </w:rPr>
        <w:t>　</w:t>
      </w:r>
      <w:r>
        <w:rPr>
          <w:rFonts w:hint="default" w:ascii="Times New Roman" w:hAnsi="Times New Roman"/>
        </w:rPr>
        <w:t>系统智能特性要求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_Toc4972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538D5631">
      <w:pPr>
        <w:pStyle w:val="92"/>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bookmarkEnd w:id="21"/>
    </w:p>
    <w:p w14:paraId="087F5CDE">
      <w:pPr>
        <w:pStyle w:val="90"/>
        <w:spacing w:before="900" w:after="360"/>
      </w:pPr>
      <w:bookmarkStart w:id="22" w:name="_Toc205367786"/>
      <w:bookmarkStart w:id="23" w:name="_Toc1434"/>
      <w:bookmarkStart w:id="24" w:name="BookMark2"/>
      <w:r>
        <w:rPr>
          <w:rFonts w:hint="eastAsia"/>
          <w:spacing w:val="320"/>
        </w:rPr>
        <w:t>前</w:t>
      </w:r>
      <w:r>
        <w:rPr>
          <w:rFonts w:hint="eastAsia"/>
        </w:rPr>
        <w:t>言</w:t>
      </w:r>
      <w:bookmarkEnd w:id="22"/>
      <w:bookmarkEnd w:id="23"/>
    </w:p>
    <w:p w14:paraId="52A4FCED">
      <w:pPr>
        <w:pStyle w:val="57"/>
        <w:ind w:firstLine="420"/>
      </w:pPr>
      <w:r>
        <w:rPr>
          <w:rFonts w:hint="eastAsia"/>
        </w:rPr>
        <w:t>本文件按照GB/T 1.1—2020《标准化工作导则  第1部分：标准化文件的结构和起草规则》的规定起草。</w:t>
      </w:r>
    </w:p>
    <w:p w14:paraId="5E6E7622">
      <w:pPr>
        <w:pStyle w:val="57"/>
        <w:ind w:firstLine="420"/>
      </w:pPr>
      <w:r>
        <w:rPr>
          <w:rFonts w:hint="eastAsia"/>
        </w:rPr>
        <w:t>本文件由</w:t>
      </w:r>
      <w:r>
        <w:rPr>
          <w:rFonts w:hint="eastAsia"/>
          <w:lang w:val="en-US" w:eastAsia="zh-CN"/>
        </w:rPr>
        <w:t>中国港口协会</w:t>
      </w:r>
      <w:bookmarkStart w:id="67" w:name="_GoBack"/>
      <w:bookmarkEnd w:id="67"/>
      <w:r>
        <w:rPr>
          <w:rFonts w:hint="eastAsia"/>
        </w:rPr>
        <w:t>提出并归口。</w:t>
      </w:r>
    </w:p>
    <w:p w14:paraId="488B0E2E">
      <w:pPr>
        <w:pStyle w:val="57"/>
        <w:ind w:firstLine="420"/>
      </w:pPr>
      <w:r>
        <w:rPr>
          <w:rFonts w:hint="eastAsia"/>
        </w:rPr>
        <w:t>本文件起草单位：天科院环境科技发展（天津）有限公司、秦皇岛港股份有限公司、辽宁港口集团有限公司、天津港股份有限公司、山东省港口集团有限公司</w:t>
      </w:r>
      <w:r>
        <w:t>。</w:t>
      </w:r>
    </w:p>
    <w:p w14:paraId="03492EDB">
      <w:pPr>
        <w:pStyle w:val="57"/>
        <w:ind w:firstLine="420"/>
      </w:pPr>
      <w:r>
        <w:rPr>
          <w:rFonts w:hint="eastAsia"/>
        </w:rPr>
        <w:t>本文件主要起草人：张春意、马贺、孙虎、黄文栋、赵鲁华、薛永华、朱波永、王钰、杨忠、秦涛、井亮、徐鹏、浦家飞、孙超、王英、王宝明、李金钊。</w:t>
      </w:r>
    </w:p>
    <w:p w14:paraId="5B24D4FC">
      <w:pPr>
        <w:pStyle w:val="57"/>
        <w:ind w:firstLine="420"/>
      </w:pPr>
    </w:p>
    <w:p w14:paraId="013675AD">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24"/>
    <w:p w14:paraId="19D34842">
      <w:pPr>
        <w:spacing w:line="20" w:lineRule="exact"/>
        <w:jc w:val="center"/>
        <w:rPr>
          <w:rFonts w:hint="eastAsia" w:ascii="黑体" w:hAnsi="黑体" w:eastAsia="黑体"/>
          <w:sz w:val="32"/>
          <w:szCs w:val="32"/>
        </w:rPr>
      </w:pPr>
      <w:bookmarkStart w:id="25" w:name="BookMark4"/>
    </w:p>
    <w:p w14:paraId="5987D4E1">
      <w:pPr>
        <w:spacing w:line="20" w:lineRule="exact"/>
        <w:jc w:val="center"/>
        <w:rPr>
          <w:rFonts w:hint="eastAsia" w:ascii="黑体" w:hAnsi="黑体" w:eastAsia="黑体"/>
          <w:sz w:val="32"/>
          <w:szCs w:val="32"/>
        </w:rPr>
      </w:pPr>
    </w:p>
    <w:sdt>
      <w:sdtPr>
        <w:tag w:val="NEW_STAND_NAME"/>
        <w:id w:val="595910757"/>
        <w:lock w:val="sdtLocked"/>
        <w:placeholder>
          <w:docPart w:val="FACB12A82EE74C7AB75C0249B3A0030B"/>
        </w:placeholder>
      </w:sdtPr>
      <w:sdtContent>
        <w:p w14:paraId="6350E0B5">
          <w:pPr>
            <w:pStyle w:val="178"/>
            <w:spacing w:before="781" w:beforeLines="250" w:after="781" w:afterLines="250"/>
            <w:rPr>
              <w:rFonts w:hint="eastAsia"/>
            </w:rPr>
          </w:pPr>
          <w:bookmarkStart w:id="26" w:name="NEW_STAND_NAME"/>
          <w:r>
            <w:rPr>
              <w:rFonts w:hint="eastAsia"/>
            </w:rPr>
            <w:t>干散货码头露天堆场智能喷淋系统技术要求</w:t>
          </w:r>
        </w:p>
      </w:sdtContent>
    </w:sdt>
    <w:bookmarkEnd w:id="26"/>
    <w:p w14:paraId="27F8CFAF">
      <w:pPr>
        <w:pStyle w:val="105"/>
        <w:numPr>
          <w:ilvl w:val="1"/>
          <w:numId w:val="0"/>
        </w:numPr>
        <w:spacing w:before="240" w:after="240"/>
      </w:pPr>
      <w:bookmarkStart w:id="27" w:name="_Toc97192964"/>
      <w:bookmarkStart w:id="28" w:name="_Toc26648465"/>
      <w:bookmarkStart w:id="29" w:name="_Toc17233325"/>
      <w:bookmarkStart w:id="30" w:name="_Toc26718930"/>
      <w:bookmarkStart w:id="31" w:name="_Toc26986530"/>
      <w:bookmarkStart w:id="32" w:name="_Toc205367787"/>
      <w:bookmarkStart w:id="33" w:name="_Toc26986771"/>
      <w:bookmarkStart w:id="34" w:name="_Toc24884211"/>
      <w:bookmarkStart w:id="35" w:name="_Toc24884218"/>
      <w:bookmarkStart w:id="36" w:name="_Toc17233333"/>
      <w:bookmarkStart w:id="37" w:name="_Toc14062"/>
      <w:r>
        <w:rPr>
          <w:rFonts w:hint="eastAsia" w:ascii="黑体" w:hAnsi="Times New Roman" w:eastAsia="黑体" w:cs="Times New Roman"/>
          <w:b w:val="0"/>
          <w:i w:val="0"/>
          <w:sz w:val="21"/>
          <w:lang w:val="en-US" w:eastAsia="zh-CN" w:bidi="ar-SA"/>
        </w:rPr>
        <w:t>1　</w:t>
      </w:r>
      <w:r>
        <w:rPr>
          <w:rFonts w:hint="eastAsia"/>
        </w:rPr>
        <w:t>范围</w:t>
      </w:r>
      <w:bookmarkEnd w:id="27"/>
      <w:bookmarkEnd w:id="28"/>
      <w:bookmarkEnd w:id="29"/>
      <w:bookmarkEnd w:id="30"/>
      <w:bookmarkEnd w:id="31"/>
      <w:bookmarkEnd w:id="32"/>
      <w:bookmarkEnd w:id="33"/>
      <w:bookmarkEnd w:id="34"/>
      <w:bookmarkEnd w:id="35"/>
      <w:bookmarkEnd w:id="36"/>
      <w:bookmarkEnd w:id="37"/>
    </w:p>
    <w:p w14:paraId="1465349F">
      <w:pPr>
        <w:pStyle w:val="57"/>
        <w:ind w:firstLine="420"/>
      </w:pPr>
      <w:bookmarkStart w:id="38" w:name="_Toc26648466"/>
      <w:bookmarkStart w:id="39" w:name="_Toc17233326"/>
      <w:bookmarkStart w:id="40" w:name="_Toc24884212"/>
      <w:bookmarkStart w:id="41" w:name="_Toc17233334"/>
      <w:bookmarkStart w:id="42" w:name="_Toc24884219"/>
      <w:r>
        <w:rPr>
          <w:rFonts w:hint="eastAsia"/>
        </w:rPr>
        <w:t>本文件规定了干散货码头露天堆场智能喷淋系统的系统构成、一般要求</w:t>
      </w:r>
      <w:r>
        <w:rPr>
          <w:rFonts w:hint="eastAsia"/>
          <w:lang w:eastAsia="zh-CN"/>
        </w:rPr>
        <w:t>、</w:t>
      </w:r>
      <w:r>
        <w:rPr>
          <w:rFonts w:hint="eastAsia"/>
        </w:rPr>
        <w:t>技术要求</w:t>
      </w:r>
      <w:r>
        <w:rPr>
          <w:rFonts w:hint="eastAsia"/>
          <w:lang w:val="en-US" w:eastAsia="zh-CN"/>
        </w:rPr>
        <w:t>和</w:t>
      </w:r>
      <w:r>
        <w:rPr>
          <w:rFonts w:hint="eastAsia"/>
        </w:rPr>
        <w:t>系统智能特性要求</w:t>
      </w:r>
      <w:r>
        <w:t>。</w:t>
      </w:r>
    </w:p>
    <w:p w14:paraId="0F4432DC">
      <w:pPr>
        <w:pStyle w:val="57"/>
        <w:ind w:firstLine="420"/>
      </w:pPr>
      <w:r>
        <w:rPr>
          <w:rFonts w:hint="eastAsia"/>
        </w:rPr>
        <w:t>本文件适用于干散货码头露天堆场智能喷淋系统的设计、</w:t>
      </w:r>
      <w:r>
        <w:rPr>
          <w:rFonts w:hint="eastAsia"/>
          <w:lang w:val="en-US" w:eastAsia="zh-CN"/>
        </w:rPr>
        <w:t>开发</w:t>
      </w:r>
      <w:r>
        <w:rPr>
          <w:rFonts w:hint="eastAsia"/>
        </w:rPr>
        <w:t>和</w:t>
      </w:r>
      <w:r>
        <w:rPr>
          <w:rFonts w:hint="eastAsia"/>
          <w:lang w:val="en-US" w:eastAsia="zh-CN"/>
        </w:rPr>
        <w:t>应用</w:t>
      </w:r>
      <w:r>
        <w:rPr>
          <w:rFonts w:hint="eastAsia"/>
        </w:rPr>
        <w:t>。</w:t>
      </w:r>
    </w:p>
    <w:p w14:paraId="465FE3EF">
      <w:pPr>
        <w:pStyle w:val="105"/>
        <w:numPr>
          <w:ilvl w:val="1"/>
          <w:numId w:val="0"/>
        </w:numPr>
        <w:spacing w:before="240" w:after="240"/>
      </w:pPr>
      <w:bookmarkStart w:id="43" w:name="_Toc24855"/>
      <w:bookmarkStart w:id="44" w:name="_Toc26718931"/>
      <w:bookmarkStart w:id="45" w:name="_Toc26986772"/>
      <w:bookmarkStart w:id="46" w:name="_Toc205367788"/>
      <w:bookmarkStart w:id="47" w:name="_Toc26986531"/>
      <w:bookmarkStart w:id="48" w:name="_Toc97192965"/>
      <w:r>
        <w:rPr>
          <w:rFonts w:hint="eastAsia" w:ascii="黑体" w:hAnsi="Times New Roman" w:eastAsia="黑体" w:cs="Times New Roman"/>
          <w:b w:val="0"/>
          <w:i w:val="0"/>
          <w:sz w:val="21"/>
          <w:lang w:val="en-US" w:eastAsia="zh-CN" w:bidi="ar-SA"/>
        </w:rPr>
        <w:t>2　</w:t>
      </w:r>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A2AD780076924096BA89A55CB18D0A1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7B822A3">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1DFAC8E">
      <w:pPr>
        <w:pStyle w:val="232"/>
        <w:rPr>
          <w:sz w:val="21"/>
          <w:szCs w:val="21"/>
        </w:rPr>
      </w:pPr>
      <w:r>
        <w:rPr>
          <w:rFonts w:ascii="Times New Roman" w:hAnsi="Times New Roman"/>
          <w:sz w:val="21"/>
          <w:szCs w:val="21"/>
        </w:rPr>
        <w:t>GB/T</w:t>
      </w:r>
      <w:r>
        <w:rPr>
          <w:rFonts w:ascii="Times New Roman" w:hAnsi="Times New Roman"/>
          <w:sz w:val="21"/>
          <w:szCs w:val="21"/>
          <w:lang w:val="en-US" w:eastAsia="zh-CN"/>
        </w:rPr>
        <w:t xml:space="preserve"> </w:t>
      </w:r>
      <w:r>
        <w:rPr>
          <w:rFonts w:ascii="Times New Roman" w:hAnsi="Times New Roman"/>
          <w:sz w:val="21"/>
          <w:szCs w:val="21"/>
        </w:rPr>
        <w:t xml:space="preserve">25070 </w:t>
      </w:r>
      <w:r>
        <w:rPr>
          <w:rFonts w:ascii="Times New Roman" w:hAnsi="Times New Roman"/>
          <w:sz w:val="21"/>
          <w:szCs w:val="21"/>
        </w:rPr>
        <w:tab/>
      </w:r>
      <w:r>
        <w:rPr>
          <w:rFonts w:ascii="Times New Roman" w:hAnsi="Times New Roman"/>
          <w:sz w:val="21"/>
          <w:szCs w:val="21"/>
        </w:rPr>
        <w:t>信息安全技术网络安全等级保护安全设计技术要求</w:t>
      </w:r>
    </w:p>
    <w:p w14:paraId="1CEB86E0">
      <w:pPr>
        <w:pStyle w:val="232"/>
        <w:rPr>
          <w:sz w:val="21"/>
          <w:szCs w:val="21"/>
        </w:rPr>
      </w:pPr>
      <w:r>
        <w:rPr>
          <w:rFonts w:ascii="Times New Roman" w:hAnsi="Times New Roman"/>
          <w:sz w:val="21"/>
          <w:szCs w:val="21"/>
        </w:rPr>
        <w:t>GB/T</w:t>
      </w:r>
      <w:r>
        <w:rPr>
          <w:rFonts w:ascii="Times New Roman" w:hAnsi="Times New Roman"/>
          <w:sz w:val="21"/>
          <w:szCs w:val="21"/>
          <w:lang w:val="en-US" w:eastAsia="zh-CN"/>
        </w:rPr>
        <w:t xml:space="preserve"> </w:t>
      </w:r>
      <w:r>
        <w:rPr>
          <w:rFonts w:ascii="Times New Roman" w:hAnsi="Times New Roman"/>
          <w:sz w:val="21"/>
          <w:szCs w:val="21"/>
        </w:rPr>
        <w:t xml:space="preserve">37025 </w:t>
      </w:r>
      <w:r>
        <w:rPr>
          <w:rFonts w:ascii="Times New Roman" w:hAnsi="Times New Roman"/>
          <w:sz w:val="21"/>
          <w:szCs w:val="21"/>
        </w:rPr>
        <w:tab/>
      </w:r>
      <w:r>
        <w:rPr>
          <w:rFonts w:ascii="Times New Roman" w:hAnsi="Times New Roman"/>
          <w:sz w:val="21"/>
          <w:szCs w:val="21"/>
        </w:rPr>
        <w:t xml:space="preserve">信息安全技术 </w:t>
      </w:r>
      <w:r>
        <w:rPr>
          <w:rFonts w:hint="eastAsia" w:ascii="Times New Roman" w:hAnsi="Times New Roman"/>
          <w:sz w:val="21"/>
          <w:szCs w:val="21"/>
          <w:lang w:eastAsia="zh-CN"/>
        </w:rPr>
        <w:t xml:space="preserve"> </w:t>
      </w:r>
      <w:r>
        <w:rPr>
          <w:rFonts w:ascii="Times New Roman" w:hAnsi="Times New Roman"/>
          <w:sz w:val="21"/>
          <w:szCs w:val="21"/>
        </w:rPr>
        <w:t>物联网数据传输安全技术要求</w:t>
      </w:r>
    </w:p>
    <w:p w14:paraId="1E15A6C0">
      <w:pPr>
        <w:pStyle w:val="57"/>
        <w:autoSpaceDE/>
        <w:autoSpaceDN/>
        <w:spacing w:line="276" w:lineRule="auto"/>
        <w:ind w:firstLine="420"/>
        <w:rPr>
          <w:rFonts w:ascii="Times New Roman"/>
          <w:szCs w:val="21"/>
        </w:rPr>
      </w:pPr>
      <w:r>
        <w:rPr>
          <w:rFonts w:ascii="Times New Roman"/>
          <w:szCs w:val="21"/>
        </w:rPr>
        <w:t xml:space="preserve">GB/T 21028 </w:t>
      </w:r>
      <w:r>
        <w:rPr>
          <w:rFonts w:ascii="Times New Roman"/>
          <w:szCs w:val="21"/>
        </w:rPr>
        <w:tab/>
      </w:r>
      <w:r>
        <w:rPr>
          <w:rFonts w:ascii="Times New Roman"/>
          <w:szCs w:val="21"/>
        </w:rPr>
        <w:t xml:space="preserve">信息安全技术 </w:t>
      </w:r>
      <w:r>
        <w:rPr>
          <w:rFonts w:hint="eastAsia" w:ascii="Times New Roman"/>
          <w:szCs w:val="21"/>
        </w:rPr>
        <w:t xml:space="preserve"> </w:t>
      </w:r>
      <w:r>
        <w:rPr>
          <w:rFonts w:ascii="Times New Roman"/>
          <w:szCs w:val="21"/>
        </w:rPr>
        <w:t>服务器安全技术要求</w:t>
      </w:r>
    </w:p>
    <w:p w14:paraId="28807136">
      <w:pPr>
        <w:pStyle w:val="232"/>
        <w:rPr>
          <w:rFonts w:hint="default" w:ascii="Times New Roman" w:hAnsi="Times New Roman"/>
          <w:sz w:val="21"/>
          <w:szCs w:val="21"/>
          <w:lang w:val="en-US" w:eastAsia="zh-CN"/>
        </w:rPr>
      </w:pPr>
      <w:r>
        <w:rPr>
          <w:rFonts w:hint="eastAsia" w:ascii="Times New Roman" w:hAnsi="Times New Roman"/>
          <w:sz w:val="21"/>
          <w:szCs w:val="21"/>
        </w:rPr>
        <w:t>HJ 664</w:t>
      </w:r>
      <w:r>
        <w:rPr>
          <w:rFonts w:hint="eastAsia" w:ascii="Times New Roman" w:hAnsi="Times New Roman"/>
          <w:sz w:val="21"/>
          <w:szCs w:val="21"/>
          <w:lang w:val="en-US" w:eastAsia="zh-CN"/>
        </w:rPr>
        <w:t xml:space="preserve">  环境空气质量监测点位布设技术规范</w:t>
      </w:r>
    </w:p>
    <w:p w14:paraId="3FAADDEE">
      <w:pPr>
        <w:pStyle w:val="105"/>
        <w:numPr>
          <w:ilvl w:val="1"/>
          <w:numId w:val="0"/>
        </w:numPr>
        <w:spacing w:before="240" w:after="240"/>
      </w:pPr>
      <w:bookmarkStart w:id="49" w:name="_Toc205367789"/>
      <w:bookmarkStart w:id="50" w:name="_Toc97192966"/>
      <w:bookmarkStart w:id="51" w:name="_Toc23071"/>
      <w:r>
        <w:rPr>
          <w:rFonts w:hint="eastAsia" w:ascii="黑体" w:hAnsi="Times New Roman" w:eastAsia="黑体" w:cs="Times New Roman"/>
          <w:b w:val="0"/>
          <w:i w:val="0"/>
          <w:sz w:val="21"/>
          <w:lang w:val="en-US" w:eastAsia="zh-CN" w:bidi="ar-SA"/>
        </w:rPr>
        <w:t>3　</w:t>
      </w:r>
      <w:r>
        <w:rPr>
          <w:rFonts w:hint="eastAsia"/>
          <w:szCs w:val="21"/>
        </w:rPr>
        <w:t>术语和定义</w:t>
      </w:r>
      <w:bookmarkEnd w:id="49"/>
      <w:bookmarkEnd w:id="50"/>
      <w:r>
        <w:rPr>
          <w:rFonts w:hint="eastAsia"/>
          <w:szCs w:val="21"/>
          <w:lang w:eastAsia="zh-CN"/>
        </w:rPr>
        <w:t>、</w:t>
      </w:r>
      <w:r>
        <w:rPr>
          <w:rFonts w:hint="eastAsia"/>
          <w:szCs w:val="21"/>
          <w:lang w:val="en-US" w:eastAsia="zh-CN"/>
        </w:rPr>
        <w:t>缩略语</w:t>
      </w:r>
      <w:bookmarkEnd w:id="51"/>
    </w:p>
    <w:p w14:paraId="47759893">
      <w:pPr>
        <w:pStyle w:val="224"/>
        <w:numPr>
          <w:ilvl w:val="2"/>
          <w:numId w:val="0"/>
        </w:numPr>
        <w:autoSpaceDE w:val="0"/>
        <w:autoSpaceDN w:val="0"/>
        <w:spacing w:before="157" w:beforeLines="50" w:after="157" w:afterLines="50"/>
        <w:ind w:left="0" w:hanging="420" w:hangingChars="200"/>
        <w:rPr>
          <w:rFonts w:hint="eastAsia" w:ascii="黑体" w:hAnsi="黑体" w:eastAsia="黑体"/>
        </w:r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3.1　</w:t>
      </w:r>
      <w:r>
        <w:rPr>
          <w:rFonts w:hint="eastAsia" w:ascii="黑体" w:hAnsi="黑体" w:eastAsia="黑体"/>
          <w:lang w:val="en-US" w:eastAsia="zh-CN"/>
        </w:rPr>
        <w:t>术语和定义</w:t>
      </w:r>
    </w:p>
    <w:sdt>
      <w:sdtPr>
        <w:id w:val="-1909835108"/>
        <w:placeholder>
          <w:docPart w:val="66FC780DCB084A6FAE1FD14E85FC152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910C68F">
          <w:pPr>
            <w:pStyle w:val="57"/>
            <w:ind w:firstLine="420"/>
          </w:pPr>
          <w:bookmarkStart w:id="52" w:name="_Toc26986532"/>
          <w:bookmarkEnd w:id="52"/>
          <w:r>
            <w:t>下列术语和定义适用于本文件。</w:t>
          </w:r>
        </w:p>
      </w:sdtContent>
    </w:sdt>
    <w:p w14:paraId="339E2049">
      <w:pPr>
        <w:pStyle w:val="224"/>
        <w:numPr>
          <w:ilvl w:val="2"/>
          <w:numId w:val="0"/>
        </w:numPr>
        <w:ind w:left="420" w:hanging="420" w:hangingChars="200"/>
        <w:rPr>
          <w:rFonts w:hint="eastAsia" w:ascii="黑体" w:hAnsi="黑体" w:eastAsia="黑体"/>
        </w:r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3.</w:t>
      </w:r>
      <w:r>
        <w:rPr>
          <w:rFonts w:hint="eastAsia" w:ascii="黑体"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1.1</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ascii="黑体" w:hAnsi="黑体" w:eastAsia="黑体"/>
        </w:rPr>
        <w:br w:type="textWrapping"/>
      </w:r>
      <w:r>
        <w:rPr>
          <w:rFonts w:hint="eastAsia" w:ascii="黑体" w:hAnsi="黑体" w:eastAsia="黑体"/>
        </w:rPr>
        <w:t xml:space="preserve">智能喷淋系统 </w:t>
      </w:r>
      <w:r>
        <w:rPr>
          <w:rFonts w:ascii="黑体" w:hAnsi="黑体" w:eastAsia="黑体"/>
        </w:rPr>
        <w:t xml:space="preserve"> Intelligent spray </w:t>
      </w:r>
      <w:r>
        <w:rPr>
          <w:rFonts w:hint="eastAsia" w:ascii="黑体" w:hAnsi="黑体" w:eastAsia="黑体"/>
        </w:rPr>
        <w:t>system</w:t>
      </w:r>
    </w:p>
    <w:p w14:paraId="54495D2C">
      <w:pPr>
        <w:pStyle w:val="57"/>
        <w:ind w:firstLine="420"/>
      </w:pPr>
      <w:r>
        <w:rPr>
          <w:rFonts w:hint="eastAsia"/>
        </w:rPr>
        <w:t>以数字化堆场为基础，通过环境数据的实时采集与智能分析，实现堆场喷淋设施自动控制的管理平台。</w:t>
      </w:r>
    </w:p>
    <w:p w14:paraId="1D8833DC">
      <w:pPr>
        <w:pStyle w:val="224"/>
        <w:numPr>
          <w:ilvl w:val="2"/>
          <w:numId w:val="0"/>
        </w:numPr>
        <w:ind w:left="420" w:hanging="420" w:hangingChars="200"/>
        <w:rPr>
          <w:rFonts w:hint="eastAsia" w:ascii="黑体" w:hAnsi="黑体" w:eastAsia="黑体"/>
        </w:r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3.</w:t>
      </w:r>
      <w:r>
        <w:rPr>
          <w:rFonts w:hint="eastAsia" w:ascii="黑体"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1.2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ascii="黑体" w:hAnsi="黑体" w:eastAsia="黑体"/>
        </w:rPr>
        <w:br w:type="textWrapping"/>
      </w:r>
      <w:r>
        <w:rPr>
          <w:rFonts w:hint="eastAsia" w:ascii="黑体" w:hAnsi="黑体" w:eastAsia="黑体"/>
        </w:rPr>
        <w:t>数字化堆场  Digital storage yard</w:t>
      </w:r>
    </w:p>
    <w:p w14:paraId="0D3A2E5B">
      <w:pPr>
        <w:pStyle w:val="57"/>
        <w:ind w:firstLine="420"/>
      </w:pPr>
      <w:r>
        <w:rPr>
          <w:rFonts w:hint="eastAsia"/>
        </w:rPr>
        <w:t>利用信息化技术，实现堆场布局、生产作业及环境管理的数字化表达</w:t>
      </w:r>
      <w:r>
        <w:rPr>
          <w:rFonts w:hint="eastAsia"/>
          <w:lang w:val="en-US" w:eastAsia="zh-CN"/>
        </w:rPr>
        <w:t>与</w:t>
      </w:r>
      <w:r>
        <w:rPr>
          <w:rFonts w:hint="eastAsia"/>
        </w:rPr>
        <w:t>动态可视化平台。</w:t>
      </w:r>
    </w:p>
    <w:p w14:paraId="0C110BB7">
      <w:pPr>
        <w:pStyle w:val="224"/>
        <w:numPr>
          <w:ilvl w:val="2"/>
          <w:numId w:val="0"/>
        </w:numPr>
        <w:ind w:left="420" w:hanging="420" w:hangingChars="200"/>
        <w:rPr>
          <w:rFonts w:hint="eastAsia" w:ascii="黑体" w:hAnsi="黑体" w:eastAsia="黑体"/>
        </w:r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3.</w:t>
      </w:r>
      <w:r>
        <w:rPr>
          <w:rFonts w:hint="eastAsia" w:ascii="黑体"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1.3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ascii="黑体" w:hAnsi="黑体" w:eastAsia="黑体"/>
        </w:rPr>
        <w:br w:type="textWrapping"/>
      </w:r>
      <w:r>
        <w:rPr>
          <w:rFonts w:hint="eastAsia" w:ascii="黑体" w:hAnsi="黑体" w:eastAsia="黑体"/>
        </w:rPr>
        <w:t>智能决策模型  Intelligent decision model</w:t>
      </w:r>
    </w:p>
    <w:p w14:paraId="0EE7CA49">
      <w:pPr>
        <w:pStyle w:val="57"/>
        <w:ind w:firstLine="420"/>
        <w:rPr>
          <w:rFonts w:hint="eastAsia"/>
        </w:rPr>
      </w:pPr>
      <w:r>
        <w:rPr>
          <w:rFonts w:hint="eastAsia"/>
        </w:rPr>
        <w:t>融合气象、粉尘、作业</w:t>
      </w:r>
      <w:r>
        <w:rPr>
          <w:rFonts w:hint="eastAsia"/>
          <w:lang w:val="en-US" w:eastAsia="zh-CN"/>
        </w:rPr>
        <w:t>及历史</w:t>
      </w:r>
      <w:r>
        <w:rPr>
          <w:rFonts w:hint="eastAsia"/>
        </w:rPr>
        <w:t>数据，</w:t>
      </w:r>
      <w:r>
        <w:rPr>
          <w:rFonts w:hint="eastAsia"/>
          <w:lang w:val="en-US" w:eastAsia="zh-CN"/>
        </w:rPr>
        <w:t>运用</w:t>
      </w:r>
      <w:r>
        <w:rPr>
          <w:rFonts w:hint="eastAsia"/>
        </w:rPr>
        <w:t>数据分析算法进行计算、预测和优化，智能生成喷淋控制指令的数学模型或算法集合。</w:t>
      </w:r>
    </w:p>
    <w:p w14:paraId="17C05DE0">
      <w:pPr>
        <w:pStyle w:val="224"/>
        <w:numPr>
          <w:ilvl w:val="2"/>
          <w:numId w:val="0"/>
        </w:numPr>
        <w:autoSpaceDE w:val="0"/>
        <w:autoSpaceDN w:val="0"/>
        <w:spacing w:before="157" w:beforeLines="50" w:after="157" w:afterLines="50"/>
        <w:ind w:left="0" w:hanging="420" w:hangingChars="200"/>
        <w:rPr>
          <w:rFonts w:hint="eastAsia" w:ascii="黑体" w:hAnsi="黑体" w:eastAsia="黑体"/>
        </w:r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3.</w:t>
      </w:r>
      <w:r>
        <w:rPr>
          <w:rFonts w:hint="eastAsia" w:ascii="黑体"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hint="eastAsia" w:ascii="黑体" w:hAnsi="黑体" w:eastAsia="黑体"/>
          <w:lang w:val="en-US" w:eastAsia="zh-CN"/>
        </w:rPr>
        <w:t>缩略语</w:t>
      </w:r>
    </w:p>
    <w:sdt>
      <w:sdtPr>
        <w:id w:val="147458978"/>
        <w:placeholder>
          <w:docPart w:val="{6c24e800-23c1-4cc6-89e1-19f8526bba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246E420">
          <w:pPr>
            <w:pStyle w:val="57"/>
            <w:ind w:firstLine="420"/>
            <w:rPr>
              <w:rFonts w:hint="eastAsia"/>
            </w:rPr>
          </w:pPr>
          <w:r>
            <w:t>下列</w:t>
          </w:r>
          <w:r>
            <w:rPr>
              <w:rFonts w:hint="eastAsia"/>
              <w:lang w:val="en-US" w:eastAsia="zh-CN"/>
            </w:rPr>
            <w:t>缩略语</w:t>
          </w:r>
          <w:r>
            <w:t>适用于本文件。</w:t>
          </w:r>
        </w:p>
      </w:sdtContent>
    </w:sdt>
    <w:p w14:paraId="27203D01">
      <w:pPr>
        <w:pStyle w:val="105"/>
        <w:numPr>
          <w:ilvl w:val="1"/>
          <w:numId w:val="0"/>
        </w:numPr>
        <w:spacing w:before="0" w:beforeLines="0" w:after="0" w:afterLines="0"/>
        <w:ind w:firstLine="420" w:firstLineChars="200"/>
        <w:outlineLvl w:val="9"/>
        <w:rPr>
          <w:rFonts w:hint="eastAsia" w:ascii="Times New Roman" w:eastAsia="宋体" w:cs="Times New Roman"/>
          <w:lang w:val="en-US" w:eastAsia="zh-CN"/>
        </w:rPr>
      </w:pPr>
      <w:bookmarkStart w:id="53" w:name="_Toc12969"/>
      <w:bookmarkStart w:id="54" w:name="_Toc205367790"/>
      <w:r>
        <w:rPr>
          <w:rFonts w:hint="default" w:ascii="Times New Roman" w:hAnsi="Times New Roman" w:eastAsia="宋体" w:cs="Times New Roman"/>
          <w:lang w:eastAsia="zh-CN"/>
        </w:rPr>
        <w:t>T</w:t>
      </w:r>
      <w:r>
        <w:rPr>
          <w:rFonts w:hint="default" w:ascii="Times New Roman" w:hAnsi="Times New Roman" w:eastAsia="宋体" w:cs="Times New Roman"/>
          <w:lang w:val="en-US" w:eastAsia="zh-CN"/>
        </w:rPr>
        <w:t>CP—</w:t>
      </w:r>
      <w:r>
        <w:rPr>
          <w:rFonts w:hint="eastAsia" w:ascii="Times New Roman" w:eastAsia="宋体" w:cs="Times New Roman"/>
          <w:lang w:val="en-US" w:eastAsia="zh-CN"/>
        </w:rPr>
        <w:t>传输控制协议（Transmission Control Protocol）</w:t>
      </w:r>
      <w:bookmarkEnd w:id="53"/>
    </w:p>
    <w:p w14:paraId="430DB1CA">
      <w:pPr>
        <w:pStyle w:val="105"/>
        <w:numPr>
          <w:ilvl w:val="1"/>
          <w:numId w:val="0"/>
        </w:numPr>
        <w:spacing w:before="0" w:beforeLines="0" w:after="0" w:afterLines="0"/>
        <w:ind w:firstLine="420" w:firstLineChars="200"/>
        <w:outlineLvl w:val="9"/>
        <w:rPr>
          <w:rFonts w:hint="eastAsia" w:ascii="Times New Roman" w:eastAsia="宋体" w:cs="Times New Roman"/>
          <w:lang w:val="en-US" w:eastAsia="zh-CN"/>
        </w:rPr>
      </w:pPr>
      <w:bookmarkStart w:id="55" w:name="_Toc8087"/>
      <w:r>
        <w:rPr>
          <w:rFonts w:hint="eastAsia" w:ascii="Times New Roman" w:eastAsia="宋体" w:cs="Times New Roman"/>
          <w:lang w:val="en-US" w:eastAsia="zh-CN"/>
        </w:rPr>
        <w:t>IP</w:t>
      </w:r>
      <w:r>
        <w:rPr>
          <w:rFonts w:hint="default" w:ascii="Times New Roman" w:hAnsi="Times New Roman" w:eastAsia="宋体" w:cs="Times New Roman"/>
          <w:lang w:val="en-US" w:eastAsia="zh-CN"/>
        </w:rPr>
        <w:t>—</w:t>
      </w:r>
      <w:r>
        <w:rPr>
          <w:rFonts w:hint="eastAsia" w:ascii="Times New Roman" w:eastAsia="宋体" w:cs="Times New Roman"/>
          <w:lang w:val="en-US" w:eastAsia="zh-CN"/>
        </w:rPr>
        <w:t>网络互连协议（Internet Protocol）</w:t>
      </w:r>
      <w:bookmarkEnd w:id="55"/>
    </w:p>
    <w:p w14:paraId="10570004">
      <w:pPr>
        <w:pStyle w:val="105"/>
        <w:numPr>
          <w:ilvl w:val="1"/>
          <w:numId w:val="0"/>
        </w:numPr>
        <w:spacing w:before="0" w:beforeLines="0" w:after="0" w:afterLines="0"/>
        <w:ind w:firstLine="420" w:firstLineChars="200"/>
        <w:outlineLvl w:val="9"/>
        <w:rPr>
          <w:rFonts w:hint="default" w:ascii="Times New Roman" w:hAnsi="Times New Roman" w:eastAsia="宋体" w:cs="Times New Roman"/>
          <w:b w:val="0"/>
          <w:i w:val="0"/>
          <w:sz w:val="21"/>
          <w:lang w:val="en-US" w:eastAsia="zh-CN" w:bidi="ar-SA"/>
        </w:rPr>
      </w:pPr>
      <w:bookmarkStart w:id="56" w:name="_Toc28893"/>
      <w:r>
        <w:rPr>
          <w:rFonts w:hint="eastAsia" w:ascii="Times New Roman" w:eastAsia="宋体" w:cs="Times New Roman"/>
          <w:lang w:val="en-US" w:eastAsia="zh-CN"/>
        </w:rPr>
        <w:t>UDP</w:t>
      </w:r>
      <w:r>
        <w:rPr>
          <w:rFonts w:hint="default" w:ascii="Times New Roman" w:hAnsi="Times New Roman" w:eastAsia="宋体" w:cs="Times New Roman"/>
          <w:lang w:val="en-US" w:eastAsia="zh-CN"/>
        </w:rPr>
        <w:t>—</w:t>
      </w:r>
      <w:r>
        <w:rPr>
          <w:rFonts w:hint="eastAsia" w:ascii="Times New Roman" w:eastAsia="宋体" w:cs="Times New Roman"/>
          <w:lang w:val="en-US" w:eastAsia="zh-CN"/>
        </w:rPr>
        <w:t>网络数据包协议（User Datagram Protocol）</w:t>
      </w:r>
      <w:bookmarkEnd w:id="56"/>
    </w:p>
    <w:p w14:paraId="694FD935">
      <w:pPr>
        <w:pStyle w:val="105"/>
        <w:numPr>
          <w:ilvl w:val="1"/>
          <w:numId w:val="0"/>
        </w:numPr>
        <w:spacing w:before="0" w:beforeLines="0" w:after="0" w:afterLines="0"/>
        <w:ind w:firstLine="420" w:firstLineChars="200"/>
        <w:outlineLvl w:val="9"/>
        <w:rPr>
          <w:rFonts w:hint="default" w:ascii="Times New Roman" w:hAnsi="Times New Roman" w:eastAsia="宋体" w:cs="Times New Roman"/>
          <w:b w:val="0"/>
          <w:i w:val="0"/>
          <w:sz w:val="21"/>
          <w:lang w:val="en-US" w:eastAsia="zh-CN" w:bidi="ar-SA"/>
        </w:rPr>
      </w:pPr>
      <w:bookmarkStart w:id="57" w:name="_Toc462"/>
      <w:r>
        <w:rPr>
          <w:rFonts w:hint="eastAsia" w:ascii="Times New Roman" w:eastAsia="宋体" w:cs="Times New Roman"/>
          <w:lang w:val="en-US" w:eastAsia="zh-CN"/>
        </w:rPr>
        <w:t>XML</w:t>
      </w:r>
      <w:r>
        <w:rPr>
          <w:rFonts w:hint="default" w:ascii="Times New Roman" w:hAnsi="Times New Roman" w:eastAsia="宋体" w:cs="Times New Roman"/>
          <w:lang w:val="en-US" w:eastAsia="zh-CN"/>
        </w:rPr>
        <w:t>—</w:t>
      </w:r>
      <w:r>
        <w:rPr>
          <w:rFonts w:hint="eastAsia" w:ascii="Times New Roman" w:eastAsia="宋体" w:cs="Times New Roman"/>
          <w:lang w:val="en-US" w:eastAsia="zh-CN"/>
        </w:rPr>
        <w:t>可扩展标记语言（Extensible Markup Language）</w:t>
      </w:r>
      <w:bookmarkEnd w:id="57"/>
    </w:p>
    <w:p w14:paraId="1634C899">
      <w:pPr>
        <w:pStyle w:val="105"/>
        <w:numPr>
          <w:ilvl w:val="1"/>
          <w:numId w:val="0"/>
        </w:numPr>
        <w:spacing w:before="0" w:beforeLines="0" w:after="0" w:afterLines="0"/>
        <w:ind w:firstLine="420" w:firstLineChars="200"/>
        <w:outlineLvl w:val="9"/>
        <w:rPr>
          <w:rFonts w:hint="default" w:ascii="Times New Roman" w:hAnsi="Times New Roman" w:eastAsia="宋体" w:cs="Times New Roman"/>
          <w:b w:val="0"/>
          <w:i w:val="0"/>
          <w:sz w:val="21"/>
          <w:lang w:val="en-US" w:eastAsia="zh-CN" w:bidi="ar-SA"/>
        </w:rPr>
      </w:pPr>
      <w:bookmarkStart w:id="58" w:name="_Toc6621"/>
      <w:r>
        <w:rPr>
          <w:rFonts w:hint="eastAsia" w:ascii="Times New Roman" w:eastAsia="宋体" w:cs="Times New Roman"/>
          <w:lang w:val="en-US" w:eastAsia="zh-CN"/>
        </w:rPr>
        <w:t>JSON</w:t>
      </w:r>
      <w:r>
        <w:rPr>
          <w:rFonts w:hint="default" w:ascii="Times New Roman" w:hAnsi="Times New Roman" w:eastAsia="宋体" w:cs="Times New Roman"/>
          <w:lang w:val="en-US" w:eastAsia="zh-CN"/>
        </w:rPr>
        <w:t>—</w:t>
      </w:r>
      <w:r>
        <w:rPr>
          <w:rFonts w:hint="eastAsia" w:ascii="Times New Roman" w:eastAsia="宋体" w:cs="Times New Roman"/>
          <w:lang w:val="en-US" w:eastAsia="zh-CN"/>
        </w:rPr>
        <w:t>JavaScript对象简谱（JavaScript Object Notation）</w:t>
      </w:r>
      <w:bookmarkEnd w:id="58"/>
    </w:p>
    <w:p w14:paraId="45960566">
      <w:pPr>
        <w:pStyle w:val="105"/>
        <w:numPr>
          <w:ilvl w:val="1"/>
          <w:numId w:val="0"/>
        </w:numPr>
        <w:spacing w:before="240" w:after="240"/>
      </w:pPr>
      <w:bookmarkStart w:id="59" w:name="_Toc9594"/>
      <w:r>
        <w:rPr>
          <w:rFonts w:hint="eastAsia" w:ascii="黑体" w:hAnsi="Times New Roman" w:eastAsia="黑体" w:cs="Times New Roman"/>
          <w:b w:val="0"/>
          <w:i w:val="0"/>
          <w:sz w:val="21"/>
          <w:lang w:val="en-US" w:eastAsia="zh-CN" w:bidi="ar-SA"/>
        </w:rPr>
        <w:t>4　</w:t>
      </w:r>
      <w:r>
        <w:rPr>
          <w:rFonts w:hint="eastAsia"/>
        </w:rPr>
        <w:t>干散货码头露天堆场智能喷淋系统构成</w:t>
      </w:r>
      <w:bookmarkEnd w:id="54"/>
      <w:bookmarkEnd w:id="59"/>
    </w:p>
    <w:p w14:paraId="1B519EBF">
      <w:pPr>
        <w:pStyle w:val="163"/>
        <w:numPr>
          <w:ilvl w:val="2"/>
          <w:numId w:val="0"/>
        </w:num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4.1　</w:t>
      </w:r>
      <w:r>
        <w:rPr>
          <w:rFonts w:hint="eastAsia"/>
        </w:rPr>
        <w:t>干散货码头露天堆场智能喷淋系统</w:t>
      </w:r>
      <w:r>
        <w:rPr>
          <w:rFonts w:hint="eastAsia"/>
          <w:lang w:eastAsia="zh-CN"/>
        </w:rPr>
        <w:t>（</w:t>
      </w:r>
      <w:r>
        <w:rPr>
          <w:rFonts w:hint="eastAsia"/>
          <w:lang w:val="en-US" w:eastAsia="zh-CN"/>
        </w:rPr>
        <w:t>以下简称“系统”</w:t>
      </w:r>
      <w:r>
        <w:rPr>
          <w:rFonts w:hint="eastAsia"/>
          <w:lang w:eastAsia="zh-CN"/>
        </w:rPr>
        <w:t>）</w:t>
      </w:r>
      <w:r>
        <w:rPr>
          <w:rFonts w:hint="eastAsia"/>
        </w:rPr>
        <w:t>应由信息采集子系统、智能决策子系统、喷淋控制子系统以及支撑性的数据传输、</w:t>
      </w:r>
      <w:r>
        <w:rPr>
          <w:rFonts w:hint="eastAsia"/>
          <w:lang w:val="en-US" w:eastAsia="zh-CN"/>
        </w:rPr>
        <w:t>控制指令和</w:t>
      </w:r>
      <w:r>
        <w:rPr>
          <w:rFonts w:hint="eastAsia"/>
        </w:rPr>
        <w:t>数据接口构成。</w:t>
      </w:r>
      <w:r>
        <w:rPr>
          <w:rFonts w:hint="eastAsia"/>
          <w:lang w:val="en-US" w:eastAsia="zh-CN"/>
        </w:rPr>
        <w:t>系统构成见图1。</w:t>
      </w:r>
    </w:p>
    <w:p w14:paraId="41BCC853">
      <w:pPr>
        <w:pStyle w:val="163"/>
        <w:numPr>
          <w:ilvl w:val="-1"/>
          <w:numId w:val="0"/>
        </w:numPr>
        <w:jc w:val="center"/>
      </w:pPr>
    </w:p>
    <w:p w14:paraId="0ED1178D">
      <w:pPr>
        <w:pStyle w:val="163"/>
        <w:numPr>
          <w:ilvl w:val="-1"/>
          <w:numId w:val="0"/>
        </w:numPr>
        <w:jc w:val="center"/>
        <w:rPr>
          <w:rFonts w:hint="eastAsia"/>
        </w:rPr>
      </w:pPr>
      <w:r>
        <w:drawing>
          <wp:inline distT="0" distB="0" distL="114300" distR="114300">
            <wp:extent cx="4945380" cy="2258060"/>
            <wp:effectExtent l="0" t="0" r="7620"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4945380" cy="2258060"/>
                    </a:xfrm>
                    <a:prstGeom prst="rect">
                      <a:avLst/>
                    </a:prstGeom>
                    <a:noFill/>
                    <a:ln>
                      <a:noFill/>
                    </a:ln>
                  </pic:spPr>
                </pic:pic>
              </a:graphicData>
            </a:graphic>
          </wp:inline>
        </w:drawing>
      </w:r>
    </w:p>
    <w:p w14:paraId="769B6D0B">
      <w:pPr>
        <w:pStyle w:val="163"/>
        <w:numPr>
          <w:ilvl w:val="-1"/>
          <w:numId w:val="0"/>
        </w:numPr>
        <w:ind w:firstLine="420" w:firstLineChars="200"/>
        <w:rPr>
          <w:rFonts w:hint="default" w:ascii="Times New Roman"/>
          <w:lang w:val="en-US" w:eastAsia="zh-CN"/>
        </w:rPr>
      </w:pPr>
      <w:r>
        <w:rPr>
          <w:rFonts w:hint="default" w:ascii="Times New Roman"/>
          <w:lang w:val="en-US" w:eastAsia="zh-CN"/>
        </w:rPr>
        <w:t>标引序号说明：</w:t>
      </w:r>
    </w:p>
    <w:p w14:paraId="32BD5D44">
      <w:pPr>
        <w:pStyle w:val="163"/>
        <w:numPr>
          <w:ilvl w:val="-1"/>
          <w:numId w:val="0"/>
        </w:numPr>
        <w:ind w:firstLine="420" w:firstLineChars="200"/>
        <w:rPr>
          <w:rFonts w:hint="default" w:ascii="Times New Roman" w:hAnsi="Times New Roman" w:cs="Times New Roman"/>
          <w:lang w:eastAsia="zh-CN"/>
        </w:rPr>
      </w:pPr>
      <w:r>
        <w:rPr>
          <w:rFonts w:hint="default" w:ascii="Times New Roman"/>
          <w:lang w:val="en-US" w:eastAsia="zh-CN"/>
        </w:rPr>
        <w:t>1</w:t>
      </w:r>
      <w:r>
        <w:rPr>
          <w:rFonts w:hint="default" w:ascii="Times New Roman" w:hAnsi="Times New Roman" w:eastAsia="宋体" w:cs="Times New Roman"/>
          <w:lang w:val="en-US" w:eastAsia="zh-CN"/>
        </w:rPr>
        <w:t>—</w:t>
      </w:r>
      <w:r>
        <w:rPr>
          <w:rFonts w:hint="default" w:ascii="Times New Roman"/>
        </w:rPr>
        <w:t>干散货码头露天堆场</w:t>
      </w:r>
      <w:r>
        <w:rPr>
          <w:rFonts w:hint="default" w:ascii="Times New Roman" w:hAnsi="Times New Roman" w:cs="Times New Roman"/>
          <w:lang w:eastAsia="zh-CN"/>
        </w:rPr>
        <w:t>；</w:t>
      </w:r>
    </w:p>
    <w:p w14:paraId="46C0CD77">
      <w:pPr>
        <w:pStyle w:val="163"/>
        <w:numPr>
          <w:ilvl w:val="-1"/>
          <w:numId w:val="0"/>
        </w:numPr>
        <w:ind w:firstLine="420" w:firstLineChars="200"/>
        <w:rPr>
          <w:rFonts w:hint="default" w:ascii="Times New Roman" w:hAnsi="Times New Roman" w:cs="Times New Roman"/>
          <w:lang w:eastAsia="zh-CN"/>
        </w:rPr>
      </w:pPr>
      <w:r>
        <w:rPr>
          <w:rFonts w:hint="default" w:ascii="Times New Roman"/>
          <w:lang w:val="en-US" w:eastAsia="zh-CN"/>
        </w:rPr>
        <w:t>2</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智能喷淋系统</w:t>
      </w:r>
      <w:r>
        <w:rPr>
          <w:rFonts w:hint="default" w:ascii="Times New Roman" w:hAnsi="Times New Roman" w:cs="Times New Roman"/>
          <w:lang w:eastAsia="zh-CN"/>
        </w:rPr>
        <w:t>；</w:t>
      </w:r>
    </w:p>
    <w:p w14:paraId="000C6599">
      <w:pPr>
        <w:pStyle w:val="163"/>
        <w:numPr>
          <w:ilvl w:val="-1"/>
          <w:numId w:val="0"/>
        </w:numPr>
        <w:ind w:firstLine="420" w:firstLineChars="200"/>
        <w:rPr>
          <w:rFonts w:hint="default" w:ascii="Times New Roman" w:hAnsi="Times New Roman" w:cs="Times New Roman"/>
          <w:lang w:eastAsia="zh-CN"/>
        </w:rPr>
      </w:pPr>
      <w:r>
        <w:rPr>
          <w:rFonts w:hint="default" w:ascii="Times New Roman"/>
          <w:lang w:val="en-US" w:eastAsia="zh-CN"/>
        </w:rPr>
        <w:t>3</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信息采集子系统</w:t>
      </w:r>
      <w:r>
        <w:rPr>
          <w:rFonts w:hint="default" w:ascii="Times New Roman" w:hAnsi="Times New Roman" w:cs="Times New Roman"/>
          <w:lang w:eastAsia="zh-CN"/>
        </w:rPr>
        <w:t>；</w:t>
      </w:r>
    </w:p>
    <w:p w14:paraId="0D7B4D27">
      <w:pPr>
        <w:pStyle w:val="163"/>
        <w:numPr>
          <w:ilvl w:val="-1"/>
          <w:numId w:val="0"/>
        </w:numPr>
        <w:ind w:firstLine="420" w:firstLineChars="200"/>
        <w:rPr>
          <w:rFonts w:hint="default" w:ascii="Times New Roman" w:hAnsi="Times New Roman" w:cs="Times New Roman"/>
          <w:lang w:eastAsia="zh-CN"/>
        </w:rPr>
      </w:pPr>
      <w:r>
        <w:rPr>
          <w:rFonts w:hint="default" w:ascii="Times New Roman"/>
          <w:lang w:val="en-US" w:eastAsia="zh-CN"/>
        </w:rPr>
        <w:t>4</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数据传输</w:t>
      </w:r>
      <w:r>
        <w:rPr>
          <w:rFonts w:hint="default" w:ascii="Times New Roman" w:hAnsi="Times New Roman" w:cs="Times New Roman"/>
          <w:lang w:eastAsia="zh-CN"/>
        </w:rPr>
        <w:t>；</w:t>
      </w:r>
    </w:p>
    <w:p w14:paraId="60C9089F">
      <w:pPr>
        <w:pStyle w:val="163"/>
        <w:numPr>
          <w:ilvl w:val="-1"/>
          <w:numId w:val="0"/>
        </w:numPr>
        <w:ind w:firstLine="420" w:firstLineChars="200"/>
        <w:rPr>
          <w:rFonts w:hint="default" w:ascii="Times New Roman" w:hAnsi="Times New Roman" w:cs="Times New Roman"/>
          <w:lang w:eastAsia="zh-CN"/>
        </w:rPr>
      </w:pPr>
      <w:r>
        <w:rPr>
          <w:rFonts w:hint="default" w:ascii="Times New Roman"/>
          <w:lang w:val="en-US" w:eastAsia="zh-CN"/>
        </w:rPr>
        <w:t>5</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智能决策子系统</w:t>
      </w:r>
      <w:r>
        <w:rPr>
          <w:rFonts w:hint="default" w:ascii="Times New Roman" w:hAnsi="Times New Roman" w:cs="Times New Roman"/>
          <w:lang w:eastAsia="zh-CN"/>
        </w:rPr>
        <w:t>；</w:t>
      </w:r>
    </w:p>
    <w:p w14:paraId="660354E9">
      <w:pPr>
        <w:pStyle w:val="163"/>
        <w:numPr>
          <w:ilvl w:val="-1"/>
          <w:numId w:val="0"/>
        </w:numPr>
        <w:ind w:firstLine="420" w:firstLineChars="200"/>
        <w:rPr>
          <w:rFonts w:hint="default" w:ascii="Times New Roman" w:hAnsi="Times New Roman" w:cs="Times New Roman"/>
          <w:lang w:eastAsia="zh-CN"/>
        </w:rPr>
      </w:pPr>
      <w:r>
        <w:rPr>
          <w:rFonts w:hint="default" w:ascii="Times New Roman"/>
          <w:lang w:val="en-US" w:eastAsia="zh-CN"/>
        </w:rPr>
        <w:t>6</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控制指令</w:t>
      </w:r>
      <w:r>
        <w:rPr>
          <w:rFonts w:hint="default" w:ascii="Times New Roman" w:hAnsi="Times New Roman" w:cs="Times New Roman"/>
          <w:lang w:eastAsia="zh-CN"/>
        </w:rPr>
        <w:t>；</w:t>
      </w:r>
    </w:p>
    <w:p w14:paraId="13B72DE4">
      <w:pPr>
        <w:pStyle w:val="163"/>
        <w:numPr>
          <w:ilvl w:val="-1"/>
          <w:numId w:val="0"/>
        </w:numPr>
        <w:ind w:firstLine="420" w:firstLineChars="200"/>
        <w:rPr>
          <w:rFonts w:hint="default" w:ascii="Times New Roman" w:hAnsi="Times New Roman" w:cs="Times New Roman"/>
          <w:lang w:eastAsia="zh-CN"/>
        </w:rPr>
      </w:pPr>
      <w:r>
        <w:rPr>
          <w:rFonts w:hint="default" w:ascii="Times New Roman"/>
          <w:lang w:val="en-US" w:eastAsia="zh-CN"/>
        </w:rPr>
        <w:t>7</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喷淋控制子系统</w:t>
      </w:r>
      <w:r>
        <w:rPr>
          <w:rFonts w:hint="default" w:ascii="Times New Roman" w:hAnsi="Times New Roman" w:cs="Times New Roman"/>
          <w:lang w:eastAsia="zh-CN"/>
        </w:rPr>
        <w:t>；</w:t>
      </w:r>
    </w:p>
    <w:p w14:paraId="340A8CDB">
      <w:pPr>
        <w:pStyle w:val="163"/>
        <w:numPr>
          <w:ilvl w:val="-1"/>
          <w:numId w:val="0"/>
        </w:numPr>
        <w:ind w:firstLine="420" w:firstLineChars="200"/>
        <w:rPr>
          <w:rFonts w:hint="default" w:ascii="Times New Roman" w:hAnsi="Times New Roman" w:cs="Times New Roman"/>
          <w:lang w:eastAsia="zh-CN"/>
        </w:rPr>
      </w:pPr>
      <w:r>
        <w:rPr>
          <w:rFonts w:hint="default" w:ascii="Times New Roman"/>
          <w:lang w:val="en-US" w:eastAsia="zh-CN"/>
        </w:rPr>
        <w:t>8</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数据接口</w:t>
      </w:r>
      <w:r>
        <w:rPr>
          <w:rFonts w:hint="default" w:ascii="Times New Roman" w:hAnsi="Times New Roman" w:cs="Times New Roman"/>
          <w:lang w:eastAsia="zh-CN"/>
        </w:rPr>
        <w:t>；</w:t>
      </w:r>
    </w:p>
    <w:p w14:paraId="4A61D3F3">
      <w:pPr>
        <w:pStyle w:val="163"/>
        <w:numPr>
          <w:ilvl w:val="-1"/>
          <w:numId w:val="0"/>
        </w:numPr>
        <w:ind w:firstLine="420" w:firstLineChars="200"/>
        <w:rPr>
          <w:rFonts w:hint="default" w:ascii="Times New Roman" w:hAnsi="Times New Roman" w:cs="Times New Roman"/>
          <w:lang w:val="en-US" w:eastAsia="zh-CN"/>
        </w:rPr>
      </w:pPr>
      <w:r>
        <w:rPr>
          <w:rFonts w:hint="default" w:ascii="Times New Roman"/>
          <w:lang w:val="en-US" w:eastAsia="zh-CN"/>
        </w:rPr>
        <w:t>9</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其他系统。</w:t>
      </w:r>
    </w:p>
    <w:p w14:paraId="6F87ED00">
      <w:pPr>
        <w:pStyle w:val="163"/>
        <w:numPr>
          <w:ilvl w:val="-1"/>
          <w:numId w:val="0"/>
        </w:numPr>
        <w:spacing w:before="157" w:beforeLines="50" w:after="157" w:afterLines="50"/>
        <w:ind w:firstLine="0" w:firstLineChars="0"/>
        <w:jc w:val="center"/>
        <w:rPr>
          <w:rFonts w:hint="eastAsia" w:ascii="黑体" w:hAnsi="黑体" w:eastAsia="黑体" w:cs="黑体"/>
          <w:lang w:val="en-US" w:eastAsia="zh-CN"/>
        </w:rPr>
      </w:pPr>
      <w:r>
        <w:rPr>
          <w:rFonts w:hint="eastAsia" w:ascii="黑体" w:hAnsi="黑体" w:eastAsia="黑体" w:cs="黑体"/>
          <w:szCs w:val="21"/>
          <w:lang w:val="en-US" w:eastAsia="zh-CN"/>
        </w:rPr>
        <w:t xml:space="preserve">图1 </w:t>
      </w:r>
      <w:r>
        <w:rPr>
          <w:rFonts w:hint="eastAsia" w:ascii="黑体" w:hAnsi="黑体" w:eastAsia="黑体" w:cs="黑体"/>
          <w:szCs w:val="21"/>
        </w:rPr>
        <w:t>系统</w:t>
      </w:r>
      <w:r>
        <w:rPr>
          <w:rFonts w:hint="eastAsia" w:ascii="黑体" w:hAnsi="黑体" w:eastAsia="黑体" w:cs="黑体"/>
          <w:szCs w:val="21"/>
          <w:lang w:val="en-US" w:eastAsia="zh-CN"/>
        </w:rPr>
        <w:t>构成</w:t>
      </w:r>
    </w:p>
    <w:p w14:paraId="0F5E2FAE">
      <w:pPr>
        <w:pStyle w:val="163"/>
        <w:numPr>
          <w:ilvl w:val="2"/>
          <w:numId w:val="0"/>
        </w:num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4.2　</w:t>
      </w:r>
      <w:r>
        <w:rPr>
          <w:rFonts w:hint="eastAsia"/>
        </w:rPr>
        <w:t>系统基本配置应符合表1的规定。</w:t>
      </w:r>
    </w:p>
    <w:p w14:paraId="7949453B">
      <w:pPr>
        <w:pStyle w:val="113"/>
        <w:spacing w:before="120" w:after="120"/>
        <w:rPr>
          <w:rFonts w:hint="eastAsia" w:hAnsi="黑体"/>
          <w:szCs w:val="21"/>
        </w:rPr>
      </w:pPr>
      <w:r>
        <w:rPr>
          <w:rFonts w:hint="eastAsia" w:hAnsi="黑体"/>
          <w:szCs w:val="21"/>
        </w:rPr>
        <w:t>系统基本配置表</w:t>
      </w:r>
    </w:p>
    <w:tbl>
      <w:tblPr>
        <w:tblStyle w:val="27"/>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3107"/>
        <w:gridCol w:w="3252"/>
        <w:gridCol w:w="2361"/>
      </w:tblGrid>
      <w:tr w14:paraId="003B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3EED0F22">
            <w:pPr>
              <w:jc w:val="center"/>
              <w:rPr>
                <w:rFonts w:ascii="宋体"/>
              </w:rPr>
            </w:pPr>
            <w:r>
              <w:rPr>
                <w:rFonts w:hint="eastAsia" w:ascii="宋体"/>
              </w:rPr>
              <w:t>序号</w:t>
            </w:r>
          </w:p>
        </w:tc>
        <w:tc>
          <w:tcPr>
            <w:tcW w:w="1625" w:type="pct"/>
            <w:vAlign w:val="center"/>
          </w:tcPr>
          <w:p w14:paraId="276A5FCC">
            <w:pPr>
              <w:jc w:val="center"/>
              <w:rPr>
                <w:rFonts w:ascii="宋体"/>
              </w:rPr>
            </w:pPr>
            <w:r>
              <w:rPr>
                <w:rFonts w:hint="eastAsia" w:ascii="宋体"/>
              </w:rPr>
              <w:t>子系统名称</w:t>
            </w:r>
          </w:p>
        </w:tc>
        <w:tc>
          <w:tcPr>
            <w:tcW w:w="1701" w:type="pct"/>
            <w:vAlign w:val="center"/>
          </w:tcPr>
          <w:p w14:paraId="36E9E3C9">
            <w:pPr>
              <w:jc w:val="center"/>
              <w:rPr>
                <w:rFonts w:ascii="宋体"/>
              </w:rPr>
            </w:pPr>
            <w:r>
              <w:rPr>
                <w:rFonts w:hint="eastAsia" w:ascii="宋体"/>
              </w:rPr>
              <w:t>配置内容</w:t>
            </w:r>
          </w:p>
        </w:tc>
        <w:tc>
          <w:tcPr>
            <w:tcW w:w="1233" w:type="pct"/>
            <w:vAlign w:val="center"/>
          </w:tcPr>
          <w:p w14:paraId="45D46538">
            <w:pPr>
              <w:jc w:val="center"/>
              <w:rPr>
                <w:rFonts w:ascii="宋体"/>
              </w:rPr>
            </w:pPr>
            <w:r>
              <w:rPr>
                <w:rFonts w:hint="eastAsia" w:ascii="宋体"/>
              </w:rPr>
              <w:t>配置要求</w:t>
            </w:r>
          </w:p>
        </w:tc>
      </w:tr>
      <w:tr w14:paraId="597C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164B1023">
            <w:pPr>
              <w:jc w:val="center"/>
              <w:rPr>
                <w:rFonts w:ascii="Times New Roman" w:hAnsi="Times New Roman"/>
              </w:rPr>
            </w:pPr>
            <w:r>
              <w:rPr>
                <w:rFonts w:hint="default" w:ascii="Times New Roman" w:hAnsi="Times New Roman"/>
              </w:rPr>
              <w:t>1</w:t>
            </w:r>
          </w:p>
        </w:tc>
        <w:tc>
          <w:tcPr>
            <w:tcW w:w="1625" w:type="pct"/>
            <w:vMerge w:val="restart"/>
            <w:vAlign w:val="center"/>
          </w:tcPr>
          <w:p w14:paraId="58B6CE1B">
            <w:pPr>
              <w:jc w:val="center"/>
              <w:rPr>
                <w:rFonts w:ascii="Times New Roman" w:hAnsi="Times New Roman"/>
              </w:rPr>
            </w:pPr>
            <w:r>
              <w:rPr>
                <w:rFonts w:hint="default" w:ascii="Times New Roman" w:hAnsi="Times New Roman"/>
              </w:rPr>
              <w:t>信息采集子系统</w:t>
            </w:r>
          </w:p>
        </w:tc>
        <w:tc>
          <w:tcPr>
            <w:tcW w:w="1701" w:type="pct"/>
            <w:vAlign w:val="center"/>
          </w:tcPr>
          <w:p w14:paraId="780DBD46">
            <w:pPr>
              <w:jc w:val="center"/>
              <w:rPr>
                <w:rFonts w:ascii="Times New Roman" w:hAnsi="Times New Roman"/>
              </w:rPr>
            </w:pPr>
            <w:r>
              <w:rPr>
                <w:rFonts w:hint="default" w:ascii="Times New Roman" w:hAnsi="Times New Roman"/>
              </w:rPr>
              <w:t>生产作业数据</w:t>
            </w:r>
          </w:p>
        </w:tc>
        <w:tc>
          <w:tcPr>
            <w:tcW w:w="1233" w:type="pct"/>
            <w:vAlign w:val="center"/>
          </w:tcPr>
          <w:p w14:paraId="4223262F">
            <w:pPr>
              <w:jc w:val="center"/>
              <w:rPr>
                <w:rFonts w:ascii="宋体"/>
              </w:rPr>
            </w:pPr>
            <w:r>
              <w:rPr>
                <w:rFonts w:hint="eastAsia" w:ascii="宋体"/>
              </w:rPr>
              <w:t>●</w:t>
            </w:r>
          </w:p>
        </w:tc>
      </w:tr>
      <w:tr w14:paraId="40B9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1E2DE099">
            <w:pPr>
              <w:jc w:val="center"/>
              <w:rPr>
                <w:rFonts w:ascii="Times New Roman" w:hAnsi="Times New Roman"/>
              </w:rPr>
            </w:pPr>
            <w:r>
              <w:rPr>
                <w:rFonts w:hint="default" w:ascii="Times New Roman" w:hAnsi="Times New Roman"/>
              </w:rPr>
              <w:t>2</w:t>
            </w:r>
          </w:p>
        </w:tc>
        <w:tc>
          <w:tcPr>
            <w:tcW w:w="1625" w:type="pct"/>
            <w:vMerge w:val="continue"/>
            <w:vAlign w:val="center"/>
          </w:tcPr>
          <w:p w14:paraId="610E1570">
            <w:pPr>
              <w:jc w:val="center"/>
              <w:rPr>
                <w:rFonts w:ascii="Times New Roman" w:hAnsi="Times New Roman"/>
              </w:rPr>
            </w:pPr>
          </w:p>
        </w:tc>
        <w:tc>
          <w:tcPr>
            <w:tcW w:w="1701" w:type="pct"/>
            <w:vAlign w:val="center"/>
          </w:tcPr>
          <w:p w14:paraId="74594AF1">
            <w:pPr>
              <w:jc w:val="center"/>
              <w:rPr>
                <w:rFonts w:ascii="Times New Roman" w:hAnsi="Times New Roman"/>
              </w:rPr>
            </w:pPr>
            <w:r>
              <w:rPr>
                <w:rFonts w:hint="default" w:ascii="Times New Roman" w:hAnsi="Times New Roman"/>
              </w:rPr>
              <w:t>气象监测数据</w:t>
            </w:r>
          </w:p>
        </w:tc>
        <w:tc>
          <w:tcPr>
            <w:tcW w:w="1233" w:type="pct"/>
            <w:vAlign w:val="center"/>
          </w:tcPr>
          <w:p w14:paraId="209CF6EA">
            <w:pPr>
              <w:jc w:val="center"/>
              <w:rPr>
                <w:rFonts w:ascii="宋体"/>
              </w:rPr>
            </w:pPr>
            <w:r>
              <w:rPr>
                <w:rFonts w:hint="eastAsia" w:ascii="宋体"/>
              </w:rPr>
              <w:t>●</w:t>
            </w:r>
          </w:p>
        </w:tc>
      </w:tr>
      <w:tr w14:paraId="230F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1B77E92F">
            <w:pPr>
              <w:jc w:val="center"/>
              <w:rPr>
                <w:rFonts w:ascii="Times New Roman" w:hAnsi="Times New Roman"/>
              </w:rPr>
            </w:pPr>
            <w:r>
              <w:rPr>
                <w:rFonts w:hint="default" w:ascii="Times New Roman" w:hAnsi="Times New Roman"/>
              </w:rPr>
              <w:t>3</w:t>
            </w:r>
          </w:p>
        </w:tc>
        <w:tc>
          <w:tcPr>
            <w:tcW w:w="1625" w:type="pct"/>
            <w:vMerge w:val="continue"/>
            <w:vAlign w:val="center"/>
          </w:tcPr>
          <w:p w14:paraId="62397455">
            <w:pPr>
              <w:jc w:val="center"/>
              <w:rPr>
                <w:rFonts w:ascii="Times New Roman" w:hAnsi="Times New Roman"/>
              </w:rPr>
            </w:pPr>
          </w:p>
        </w:tc>
        <w:tc>
          <w:tcPr>
            <w:tcW w:w="1701" w:type="pct"/>
            <w:vAlign w:val="center"/>
          </w:tcPr>
          <w:p w14:paraId="5130CCED">
            <w:pPr>
              <w:jc w:val="center"/>
              <w:rPr>
                <w:rFonts w:ascii="Times New Roman" w:hAnsi="Times New Roman"/>
              </w:rPr>
            </w:pPr>
            <w:r>
              <w:rPr>
                <w:rFonts w:hint="default" w:ascii="Times New Roman" w:hAnsi="Times New Roman"/>
              </w:rPr>
              <w:t>粉尘浓度监测数据</w:t>
            </w:r>
          </w:p>
        </w:tc>
        <w:tc>
          <w:tcPr>
            <w:tcW w:w="1233" w:type="pct"/>
            <w:vAlign w:val="center"/>
          </w:tcPr>
          <w:p w14:paraId="58327717">
            <w:pPr>
              <w:jc w:val="center"/>
              <w:rPr>
                <w:rFonts w:ascii="宋体"/>
              </w:rPr>
            </w:pPr>
            <w:r>
              <w:rPr>
                <w:rFonts w:hint="eastAsia" w:ascii="宋体"/>
              </w:rPr>
              <w:t>●</w:t>
            </w:r>
          </w:p>
        </w:tc>
      </w:tr>
      <w:tr w14:paraId="206F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2518C278">
            <w:pPr>
              <w:jc w:val="center"/>
              <w:rPr>
                <w:rFonts w:ascii="Times New Roman" w:hAnsi="Times New Roman"/>
              </w:rPr>
            </w:pPr>
            <w:r>
              <w:rPr>
                <w:rFonts w:hint="default" w:ascii="Times New Roman" w:hAnsi="Times New Roman"/>
              </w:rPr>
              <w:t>4</w:t>
            </w:r>
          </w:p>
        </w:tc>
        <w:tc>
          <w:tcPr>
            <w:tcW w:w="1625" w:type="pct"/>
            <w:vMerge w:val="continue"/>
            <w:vAlign w:val="center"/>
          </w:tcPr>
          <w:p w14:paraId="41E93595">
            <w:pPr>
              <w:jc w:val="center"/>
              <w:rPr>
                <w:rFonts w:ascii="Times New Roman" w:hAnsi="Times New Roman"/>
              </w:rPr>
            </w:pPr>
          </w:p>
        </w:tc>
        <w:tc>
          <w:tcPr>
            <w:tcW w:w="1701" w:type="pct"/>
            <w:vAlign w:val="center"/>
          </w:tcPr>
          <w:p w14:paraId="2AB9739D">
            <w:pPr>
              <w:jc w:val="center"/>
              <w:rPr>
                <w:rFonts w:ascii="Times New Roman" w:hAnsi="Times New Roman"/>
              </w:rPr>
            </w:pPr>
            <w:r>
              <w:rPr>
                <w:rFonts w:hint="default" w:ascii="Times New Roman" w:hAnsi="Times New Roman"/>
              </w:rPr>
              <w:t>视频监控数据</w:t>
            </w:r>
          </w:p>
        </w:tc>
        <w:tc>
          <w:tcPr>
            <w:tcW w:w="1233" w:type="pct"/>
            <w:vAlign w:val="center"/>
          </w:tcPr>
          <w:p w14:paraId="279529C0">
            <w:pPr>
              <w:jc w:val="center"/>
              <w:rPr>
                <w:rFonts w:ascii="宋体"/>
              </w:rPr>
            </w:pPr>
            <w:r>
              <w:rPr>
                <w:rFonts w:hint="eastAsia" w:ascii="宋体"/>
              </w:rPr>
              <w:t>◎</w:t>
            </w:r>
          </w:p>
        </w:tc>
      </w:tr>
      <w:tr w14:paraId="64771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6D619303">
            <w:pPr>
              <w:jc w:val="center"/>
              <w:rPr>
                <w:rFonts w:ascii="Times New Roman" w:hAnsi="Times New Roman"/>
              </w:rPr>
            </w:pPr>
            <w:r>
              <w:rPr>
                <w:rFonts w:hint="default" w:ascii="Times New Roman" w:hAnsi="Times New Roman"/>
              </w:rPr>
              <w:t>5</w:t>
            </w:r>
          </w:p>
        </w:tc>
        <w:tc>
          <w:tcPr>
            <w:tcW w:w="1625" w:type="pct"/>
            <w:vMerge w:val="restart"/>
            <w:vAlign w:val="center"/>
          </w:tcPr>
          <w:p w14:paraId="5351D80B">
            <w:pPr>
              <w:jc w:val="center"/>
              <w:rPr>
                <w:rFonts w:ascii="Times New Roman" w:hAnsi="Times New Roman"/>
              </w:rPr>
            </w:pPr>
            <w:r>
              <w:rPr>
                <w:rFonts w:hint="default" w:ascii="Times New Roman" w:hAnsi="Times New Roman"/>
              </w:rPr>
              <w:t>智能决策子系统</w:t>
            </w:r>
          </w:p>
        </w:tc>
        <w:tc>
          <w:tcPr>
            <w:tcW w:w="1701" w:type="pct"/>
            <w:vAlign w:val="center"/>
          </w:tcPr>
          <w:p w14:paraId="05DA04E0">
            <w:pPr>
              <w:jc w:val="center"/>
              <w:rPr>
                <w:rFonts w:ascii="Times New Roman" w:hAnsi="Times New Roman"/>
              </w:rPr>
            </w:pPr>
            <w:r>
              <w:rPr>
                <w:rFonts w:hint="default" w:ascii="Times New Roman" w:hAnsi="Times New Roman"/>
              </w:rPr>
              <w:t>含水率判定决策</w:t>
            </w:r>
          </w:p>
        </w:tc>
        <w:tc>
          <w:tcPr>
            <w:tcW w:w="1233" w:type="pct"/>
            <w:vAlign w:val="center"/>
          </w:tcPr>
          <w:p w14:paraId="17F9C7EA">
            <w:pPr>
              <w:jc w:val="center"/>
              <w:rPr>
                <w:rFonts w:ascii="宋体"/>
              </w:rPr>
            </w:pPr>
            <w:r>
              <w:rPr>
                <w:rFonts w:hint="eastAsia" w:ascii="宋体"/>
              </w:rPr>
              <w:t>●</w:t>
            </w:r>
          </w:p>
        </w:tc>
      </w:tr>
      <w:tr w14:paraId="4DF4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484EC610">
            <w:pPr>
              <w:jc w:val="center"/>
              <w:rPr>
                <w:rFonts w:ascii="Times New Roman" w:hAnsi="Times New Roman"/>
              </w:rPr>
            </w:pPr>
            <w:r>
              <w:rPr>
                <w:rFonts w:hint="default" w:ascii="Times New Roman" w:hAnsi="Times New Roman"/>
              </w:rPr>
              <w:t>6</w:t>
            </w:r>
          </w:p>
        </w:tc>
        <w:tc>
          <w:tcPr>
            <w:tcW w:w="1625" w:type="pct"/>
            <w:vMerge w:val="continue"/>
            <w:vAlign w:val="center"/>
          </w:tcPr>
          <w:p w14:paraId="1111209E">
            <w:pPr>
              <w:jc w:val="center"/>
              <w:rPr>
                <w:rFonts w:ascii="Times New Roman" w:hAnsi="Times New Roman"/>
              </w:rPr>
            </w:pPr>
          </w:p>
        </w:tc>
        <w:tc>
          <w:tcPr>
            <w:tcW w:w="1701" w:type="pct"/>
            <w:vAlign w:val="center"/>
          </w:tcPr>
          <w:p w14:paraId="591D07D7">
            <w:pPr>
              <w:jc w:val="center"/>
              <w:rPr>
                <w:rFonts w:ascii="Times New Roman" w:hAnsi="Times New Roman"/>
              </w:rPr>
            </w:pPr>
            <w:r>
              <w:rPr>
                <w:rFonts w:hint="default" w:ascii="Times New Roman" w:hAnsi="Times New Roman"/>
              </w:rPr>
              <w:t>起尘判定决策</w:t>
            </w:r>
          </w:p>
        </w:tc>
        <w:tc>
          <w:tcPr>
            <w:tcW w:w="1233" w:type="pct"/>
            <w:vAlign w:val="center"/>
          </w:tcPr>
          <w:p w14:paraId="49C2B705">
            <w:pPr>
              <w:jc w:val="center"/>
              <w:rPr>
                <w:rFonts w:ascii="宋体"/>
              </w:rPr>
            </w:pPr>
            <w:r>
              <w:rPr>
                <w:rFonts w:hint="eastAsia" w:ascii="宋体"/>
              </w:rPr>
              <w:t>●</w:t>
            </w:r>
          </w:p>
        </w:tc>
      </w:tr>
      <w:tr w14:paraId="3148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27C662D6">
            <w:pPr>
              <w:jc w:val="center"/>
              <w:rPr>
                <w:rFonts w:ascii="Times New Roman" w:hAnsi="Times New Roman"/>
              </w:rPr>
            </w:pPr>
            <w:r>
              <w:rPr>
                <w:rFonts w:hint="default" w:ascii="Times New Roman" w:hAnsi="Times New Roman"/>
              </w:rPr>
              <w:t>7</w:t>
            </w:r>
          </w:p>
        </w:tc>
        <w:tc>
          <w:tcPr>
            <w:tcW w:w="1625" w:type="pct"/>
            <w:vAlign w:val="center"/>
          </w:tcPr>
          <w:p w14:paraId="00CA62E5">
            <w:pPr>
              <w:jc w:val="center"/>
              <w:rPr>
                <w:rFonts w:ascii="Times New Roman" w:hAnsi="Times New Roman"/>
              </w:rPr>
            </w:pPr>
            <w:r>
              <w:rPr>
                <w:rFonts w:hint="default" w:ascii="Times New Roman" w:hAnsi="Times New Roman"/>
              </w:rPr>
              <w:t>喷淋控制子系统</w:t>
            </w:r>
          </w:p>
        </w:tc>
        <w:tc>
          <w:tcPr>
            <w:tcW w:w="1701" w:type="pct"/>
            <w:vAlign w:val="center"/>
          </w:tcPr>
          <w:p w14:paraId="6F4092AD">
            <w:pPr>
              <w:jc w:val="center"/>
              <w:rPr>
                <w:rFonts w:ascii="Times New Roman" w:hAnsi="Times New Roman"/>
              </w:rPr>
            </w:pPr>
            <w:r>
              <w:rPr>
                <w:rFonts w:hint="default" w:ascii="Times New Roman" w:hAnsi="Times New Roman"/>
              </w:rPr>
              <w:t>PLC控制</w:t>
            </w:r>
          </w:p>
        </w:tc>
        <w:tc>
          <w:tcPr>
            <w:tcW w:w="1233" w:type="pct"/>
            <w:vAlign w:val="center"/>
          </w:tcPr>
          <w:p w14:paraId="1B47EC7D">
            <w:pPr>
              <w:jc w:val="center"/>
              <w:rPr>
                <w:rFonts w:ascii="宋体"/>
              </w:rPr>
            </w:pPr>
            <w:r>
              <w:rPr>
                <w:rFonts w:hint="eastAsia" w:ascii="宋体"/>
              </w:rPr>
              <w:t>●</w:t>
            </w:r>
          </w:p>
        </w:tc>
      </w:tr>
      <w:tr w14:paraId="6C949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0F7E9B27">
            <w:pPr>
              <w:jc w:val="center"/>
              <w:rPr>
                <w:rFonts w:hint="eastAsia" w:ascii="Times New Roman" w:hAnsi="Times New Roman" w:eastAsia="宋体"/>
                <w:lang w:val="en-US" w:eastAsia="zh-CN"/>
              </w:rPr>
            </w:pPr>
            <w:r>
              <w:rPr>
                <w:rFonts w:hint="eastAsia" w:ascii="Times New Roman" w:hAnsi="Times New Roman"/>
                <w:lang w:val="en-US" w:eastAsia="zh-CN"/>
              </w:rPr>
              <w:t>8</w:t>
            </w:r>
          </w:p>
        </w:tc>
        <w:tc>
          <w:tcPr>
            <w:tcW w:w="1625" w:type="pct"/>
            <w:vAlign w:val="center"/>
          </w:tcPr>
          <w:p w14:paraId="743E83BB">
            <w:pPr>
              <w:jc w:val="center"/>
              <w:rPr>
                <w:rFonts w:hint="eastAsia" w:ascii="Times New Roman" w:hAnsi="Times New Roman" w:eastAsia="宋体"/>
                <w:lang w:val="en-US" w:eastAsia="zh-CN"/>
              </w:rPr>
            </w:pPr>
            <w:r>
              <w:rPr>
                <w:rFonts w:hint="eastAsia" w:ascii="Times New Roman" w:hAnsi="Times New Roman"/>
                <w:lang w:val="en-US" w:eastAsia="zh-CN"/>
              </w:rPr>
              <w:t>数据传输</w:t>
            </w:r>
          </w:p>
        </w:tc>
        <w:tc>
          <w:tcPr>
            <w:tcW w:w="1701" w:type="pct"/>
            <w:vAlign w:val="center"/>
          </w:tcPr>
          <w:p w14:paraId="646A2223">
            <w:pPr>
              <w:jc w:val="center"/>
              <w:rPr>
                <w:rFonts w:hint="eastAsia" w:ascii="Times New Roman" w:hAnsi="Times New Roman" w:eastAsia="宋体"/>
                <w:lang w:eastAsia="zh-CN"/>
              </w:rPr>
            </w:pPr>
            <w:r>
              <w:rPr>
                <w:rFonts w:hint="eastAsia" w:ascii="Times New Roman" w:hAnsi="Times New Roman"/>
                <w:lang w:eastAsia="zh-CN"/>
              </w:rPr>
              <w:t>——</w:t>
            </w:r>
          </w:p>
        </w:tc>
        <w:tc>
          <w:tcPr>
            <w:tcW w:w="1233" w:type="pct"/>
            <w:vAlign w:val="center"/>
          </w:tcPr>
          <w:p w14:paraId="301F56ED">
            <w:pPr>
              <w:jc w:val="center"/>
              <w:rPr>
                <w:rFonts w:hint="eastAsia" w:ascii="宋体"/>
              </w:rPr>
            </w:pPr>
            <w:r>
              <w:rPr>
                <w:rFonts w:hint="eastAsia" w:ascii="宋体"/>
              </w:rPr>
              <w:t>●</w:t>
            </w:r>
          </w:p>
        </w:tc>
      </w:tr>
      <w:tr w14:paraId="1131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1BB5AB5F">
            <w:pPr>
              <w:jc w:val="center"/>
              <w:rPr>
                <w:rFonts w:hint="eastAsia" w:ascii="Times New Roman" w:hAnsi="Times New Roman" w:eastAsia="宋体"/>
                <w:lang w:val="en-US" w:eastAsia="zh-CN"/>
              </w:rPr>
            </w:pPr>
            <w:r>
              <w:rPr>
                <w:rFonts w:hint="eastAsia" w:ascii="Times New Roman" w:hAnsi="Times New Roman"/>
                <w:lang w:val="en-US" w:eastAsia="zh-CN"/>
              </w:rPr>
              <w:t>9</w:t>
            </w:r>
          </w:p>
        </w:tc>
        <w:tc>
          <w:tcPr>
            <w:tcW w:w="1625" w:type="pct"/>
            <w:vAlign w:val="center"/>
          </w:tcPr>
          <w:p w14:paraId="7A8509A1">
            <w:pPr>
              <w:jc w:val="center"/>
              <w:rPr>
                <w:rFonts w:hint="default" w:ascii="Times New Roman" w:hAnsi="Times New Roman" w:eastAsia="宋体"/>
                <w:lang w:val="en-US" w:eastAsia="zh-CN"/>
              </w:rPr>
            </w:pPr>
            <w:r>
              <w:rPr>
                <w:rFonts w:hint="eastAsia" w:ascii="Times New Roman" w:hAnsi="Times New Roman"/>
                <w:lang w:val="en-US" w:eastAsia="zh-CN"/>
              </w:rPr>
              <w:t>控制指令</w:t>
            </w:r>
          </w:p>
        </w:tc>
        <w:tc>
          <w:tcPr>
            <w:tcW w:w="1701" w:type="pct"/>
            <w:vAlign w:val="center"/>
          </w:tcPr>
          <w:p w14:paraId="1C5BE491">
            <w:pPr>
              <w:jc w:val="center"/>
              <w:rPr>
                <w:rFonts w:hint="eastAsia" w:ascii="Times New Roman" w:hAnsi="Times New Roman" w:eastAsia="宋体"/>
                <w:lang w:eastAsia="zh-CN"/>
              </w:rPr>
            </w:pPr>
            <w:r>
              <w:rPr>
                <w:rFonts w:hint="eastAsia" w:ascii="Times New Roman" w:hAnsi="Times New Roman"/>
                <w:lang w:eastAsia="zh-CN"/>
              </w:rPr>
              <w:t>——</w:t>
            </w:r>
          </w:p>
        </w:tc>
        <w:tc>
          <w:tcPr>
            <w:tcW w:w="1233" w:type="pct"/>
            <w:vAlign w:val="center"/>
          </w:tcPr>
          <w:p w14:paraId="02EBB0C7">
            <w:pPr>
              <w:jc w:val="center"/>
              <w:rPr>
                <w:rFonts w:hint="eastAsia" w:ascii="宋体"/>
              </w:rPr>
            </w:pPr>
            <w:r>
              <w:rPr>
                <w:rFonts w:hint="eastAsia" w:ascii="宋体"/>
              </w:rPr>
              <w:t>●</w:t>
            </w:r>
          </w:p>
        </w:tc>
      </w:tr>
      <w:tr w14:paraId="35A0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 w:type="pct"/>
            <w:vAlign w:val="center"/>
          </w:tcPr>
          <w:p w14:paraId="077FD58B">
            <w:pPr>
              <w:jc w:val="center"/>
              <w:rPr>
                <w:rFonts w:hint="default" w:ascii="Times New Roman" w:hAnsi="Times New Roman"/>
                <w:lang w:val="en-US" w:eastAsia="zh-CN"/>
              </w:rPr>
            </w:pPr>
            <w:r>
              <w:rPr>
                <w:rFonts w:hint="eastAsia" w:ascii="Times New Roman" w:hAnsi="Times New Roman"/>
                <w:lang w:val="en-US" w:eastAsia="zh-CN"/>
              </w:rPr>
              <w:t>10</w:t>
            </w:r>
          </w:p>
        </w:tc>
        <w:tc>
          <w:tcPr>
            <w:tcW w:w="1625" w:type="pct"/>
            <w:vAlign w:val="center"/>
          </w:tcPr>
          <w:p w14:paraId="778C9908">
            <w:pPr>
              <w:jc w:val="center"/>
              <w:rPr>
                <w:rFonts w:hint="default" w:ascii="Times New Roman" w:hAnsi="Times New Roman"/>
                <w:lang w:val="en-US" w:eastAsia="zh-CN"/>
              </w:rPr>
            </w:pPr>
            <w:r>
              <w:rPr>
                <w:rFonts w:hint="eastAsia" w:ascii="Times New Roman" w:hAnsi="Times New Roman"/>
                <w:lang w:val="en-US" w:eastAsia="zh-CN"/>
              </w:rPr>
              <w:t>数据接口</w:t>
            </w:r>
          </w:p>
        </w:tc>
        <w:tc>
          <w:tcPr>
            <w:tcW w:w="1701" w:type="pct"/>
            <w:vAlign w:val="center"/>
          </w:tcPr>
          <w:p w14:paraId="51296821">
            <w:pPr>
              <w:jc w:val="center"/>
              <w:rPr>
                <w:rFonts w:hint="default" w:ascii="Times New Roman" w:hAnsi="Times New Roman" w:eastAsia="宋体"/>
                <w:lang w:val="en-US" w:eastAsia="zh-CN"/>
              </w:rPr>
            </w:pPr>
            <w:r>
              <w:rPr>
                <w:rFonts w:hint="eastAsia" w:ascii="Times New Roman" w:hAnsi="Times New Roman"/>
                <w:lang w:eastAsia="zh-CN"/>
              </w:rPr>
              <w:t>——</w:t>
            </w:r>
          </w:p>
        </w:tc>
        <w:tc>
          <w:tcPr>
            <w:tcW w:w="1233" w:type="pct"/>
            <w:vAlign w:val="center"/>
          </w:tcPr>
          <w:p w14:paraId="5BC26BFF">
            <w:pPr>
              <w:jc w:val="center"/>
              <w:rPr>
                <w:rFonts w:hint="eastAsia" w:ascii="宋体"/>
              </w:rPr>
            </w:pPr>
            <w:r>
              <w:rPr>
                <w:rFonts w:hint="eastAsia" w:ascii="宋体"/>
              </w:rPr>
              <w:t>●</w:t>
            </w:r>
          </w:p>
        </w:tc>
      </w:tr>
      <w:tr w14:paraId="58A1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vAlign w:val="center"/>
          </w:tcPr>
          <w:p w14:paraId="3B5F7895">
            <w:pPr>
              <w:pStyle w:val="180"/>
            </w:pPr>
            <w:r>
              <w:rPr>
                <w:rFonts w:hint="eastAsia"/>
              </w:rPr>
              <w:t>●表示必选的配置；◎表示可选的配置。</w:t>
            </w:r>
          </w:p>
        </w:tc>
      </w:tr>
    </w:tbl>
    <w:p w14:paraId="28881CE3">
      <w:pPr>
        <w:pStyle w:val="105"/>
        <w:numPr>
          <w:ilvl w:val="1"/>
          <w:numId w:val="0"/>
        </w:numPr>
        <w:spacing w:before="240" w:after="240"/>
      </w:pPr>
      <w:bookmarkStart w:id="60" w:name="_Toc10744"/>
      <w:bookmarkStart w:id="61" w:name="_Toc205367791"/>
      <w:r>
        <w:rPr>
          <w:rFonts w:hint="eastAsia" w:ascii="黑体" w:hAnsi="Times New Roman" w:eastAsia="黑体" w:cs="Times New Roman"/>
          <w:b w:val="0"/>
          <w:i w:val="0"/>
          <w:sz w:val="21"/>
          <w:lang w:val="en-US" w:eastAsia="zh-CN" w:bidi="ar-SA"/>
        </w:rPr>
        <w:t>5　</w:t>
      </w:r>
      <w:r>
        <w:rPr>
          <w:rFonts w:hint="eastAsia"/>
        </w:rPr>
        <w:t>一般要求</w:t>
      </w:r>
      <w:bookmarkEnd w:id="60"/>
      <w:bookmarkEnd w:id="61"/>
    </w:p>
    <w:p w14:paraId="3877FF66">
      <w:pPr>
        <w:pStyle w:val="163"/>
        <w:numPr>
          <w:ilvl w:val="2"/>
          <w:numId w:val="0"/>
        </w:num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5.1　</w:t>
      </w:r>
      <w:r>
        <w:t>系统应具备良好的稳定性、可扩展性、易管理和操作性。</w:t>
      </w:r>
    </w:p>
    <w:p w14:paraId="6E8DBB54">
      <w:pPr>
        <w:pStyle w:val="163"/>
        <w:numPr>
          <w:ilvl w:val="2"/>
          <w:numId w:val="0"/>
        </w:num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5.2　</w:t>
      </w:r>
      <w:r>
        <w:t>系统</w:t>
      </w:r>
      <w:r>
        <w:rPr>
          <w:rFonts w:hint="eastAsia"/>
        </w:rPr>
        <w:t>应</w:t>
      </w:r>
      <w:r>
        <w:t>具备用户信息和用户权限管理功能</w:t>
      </w:r>
      <w:r>
        <w:rPr>
          <w:rFonts w:hint="eastAsia"/>
        </w:rPr>
        <w:t>，</w:t>
      </w:r>
      <w:r>
        <w:t>登录</w:t>
      </w:r>
      <w:r>
        <w:rPr>
          <w:rFonts w:hint="eastAsia"/>
        </w:rPr>
        <w:t>前</w:t>
      </w:r>
      <w:r>
        <w:t>应进行身份验证</w:t>
      </w:r>
      <w:r>
        <w:rPr>
          <w:rFonts w:hint="eastAsia"/>
        </w:rPr>
        <w:t>。</w:t>
      </w:r>
    </w:p>
    <w:p w14:paraId="4E586619">
      <w:pPr>
        <w:pStyle w:val="163"/>
        <w:numPr>
          <w:ilvl w:val="2"/>
          <w:numId w:val="0"/>
        </w:num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5.3　</w:t>
      </w:r>
      <w:r>
        <w:t>系统应预留数据对接</w:t>
      </w:r>
      <w:r>
        <w:rPr>
          <w:rFonts w:hint="eastAsia"/>
        </w:rPr>
        <w:t>的</w:t>
      </w:r>
      <w:r>
        <w:t>接口和扩展功能。</w:t>
      </w:r>
    </w:p>
    <w:p w14:paraId="3051AC2B">
      <w:pPr>
        <w:pStyle w:val="163"/>
        <w:numPr>
          <w:ilvl w:val="2"/>
          <w:numId w:val="0"/>
        </w:num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5.4　</w:t>
      </w:r>
      <w:r>
        <w:t>系统应具备数据</w:t>
      </w:r>
      <w:r>
        <w:rPr>
          <w:rFonts w:hint="eastAsia"/>
        </w:rPr>
        <w:t>存储与</w:t>
      </w:r>
      <w:r>
        <w:t>查询功能。</w:t>
      </w:r>
    </w:p>
    <w:p w14:paraId="4846B45A">
      <w:pPr>
        <w:pStyle w:val="163"/>
        <w:numPr>
          <w:ilvl w:val="2"/>
          <w:numId w:val="0"/>
        </w:num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5.5　</w:t>
      </w:r>
      <w:r>
        <w:t>系统</w:t>
      </w:r>
      <w:r>
        <w:rPr>
          <w:rFonts w:hint="eastAsia"/>
        </w:rPr>
        <w:t>应</w:t>
      </w:r>
      <w:r>
        <w:t>具备不间断供电运行的配置或断电自动重启功能</w:t>
      </w:r>
      <w:r>
        <w:rPr>
          <w:rFonts w:hint="eastAsia"/>
        </w:rPr>
        <w:t>。</w:t>
      </w:r>
    </w:p>
    <w:p w14:paraId="5B81CC84">
      <w:pPr>
        <w:pStyle w:val="163"/>
        <w:numPr>
          <w:ilvl w:val="2"/>
          <w:numId w:val="0"/>
        </w:numPr>
        <w:rPr>
          <w:rFonts w:ascii="Times New Roman"/>
        </w:r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5.6　</w:t>
      </w:r>
      <w:r>
        <w:rPr>
          <w:rFonts w:hint="eastAsia"/>
        </w:rPr>
        <w:t>系统</w:t>
      </w:r>
      <w:r>
        <w:t>服务器设置</w:t>
      </w:r>
      <w:r>
        <w:rPr>
          <w:rFonts w:hint="eastAsia"/>
        </w:rPr>
        <w:t>、</w:t>
      </w:r>
      <w:r>
        <w:t>数据采集和传输、网络数据存储</w:t>
      </w:r>
      <w:r>
        <w:rPr>
          <w:rFonts w:hint="eastAsia"/>
        </w:rPr>
        <w:t>与</w:t>
      </w:r>
      <w:r>
        <w:t>应用应满</w:t>
      </w:r>
      <w:r>
        <w:rPr>
          <w:rFonts w:ascii="Times New Roman"/>
        </w:rPr>
        <w:t>足GB/T 21028</w:t>
      </w:r>
      <w:r>
        <w:rPr>
          <w:rFonts w:hint="default" w:ascii="Times New Roman"/>
        </w:rPr>
        <w:t>、GB/T 25070、GB/T 37025的相关规定</w:t>
      </w:r>
      <w:r>
        <w:rPr>
          <w:rFonts w:ascii="Times New Roman"/>
        </w:rPr>
        <w:t>。</w:t>
      </w:r>
    </w:p>
    <w:p w14:paraId="1D8FCC68">
      <w:pPr>
        <w:pStyle w:val="163"/>
        <w:numPr>
          <w:ilvl w:val="2"/>
          <w:numId w:val="0"/>
        </w:num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5.7　</w:t>
      </w:r>
      <w:r>
        <w:rPr>
          <w:rFonts w:hint="eastAsia"/>
        </w:rPr>
        <w:t>系统应配备使用、运维等说明文件，并定期进行维护、保养。</w:t>
      </w:r>
    </w:p>
    <w:p w14:paraId="30A16D33">
      <w:pPr>
        <w:pStyle w:val="105"/>
        <w:numPr>
          <w:ilvl w:val="1"/>
          <w:numId w:val="0"/>
        </w:numPr>
        <w:spacing w:before="240" w:after="240"/>
      </w:pPr>
      <w:bookmarkStart w:id="62" w:name="_Toc205367792"/>
      <w:bookmarkStart w:id="63" w:name="_Toc32366"/>
      <w:bookmarkStart w:id="64" w:name="_Toc1780"/>
      <w:r>
        <w:rPr>
          <w:rFonts w:hint="eastAsia" w:ascii="黑体" w:hAnsi="Times New Roman" w:eastAsia="黑体" w:cs="Times New Roman"/>
          <w:b w:val="0"/>
          <w:i w:val="0"/>
          <w:sz w:val="21"/>
          <w:lang w:val="en-US" w:eastAsia="zh-CN" w:bidi="ar-SA"/>
        </w:rPr>
        <w:t>6　</w:t>
      </w:r>
      <w:r>
        <w:rPr>
          <w:rFonts w:hint="eastAsia"/>
        </w:rPr>
        <w:t>技术要求</w:t>
      </w:r>
      <w:bookmarkEnd w:id="62"/>
      <w:bookmarkEnd w:id="63"/>
      <w:bookmarkEnd w:id="64"/>
    </w:p>
    <w:p w14:paraId="3BE718F1">
      <w:pPr>
        <w:pStyle w:val="106"/>
        <w:numPr>
          <w:ilvl w:val="2"/>
          <w:numId w:val="0"/>
        </w:numPr>
        <w:spacing w:before="120" w:after="120"/>
        <w:outlineLvl w:val="9"/>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6.1　</w:t>
      </w:r>
      <w:r>
        <w:rPr>
          <w:rFonts w:hint="eastAsia"/>
        </w:rPr>
        <w:t>信息采集子系统</w:t>
      </w:r>
    </w:p>
    <w:p w14:paraId="011EC0A3">
      <w:pPr>
        <w:pStyle w:val="166"/>
        <w:numPr>
          <w:ilvl w:val="3"/>
          <w:numId w:val="0"/>
        </w:numPr>
      </w:pPr>
      <w:r>
        <w:rPr>
          <w:rFonts w:hint="eastAsia" w:ascii="黑体" w:hAnsi="Times New Roman" w:eastAsia="黑体" w:cs="Times New Roman"/>
          <w:b w:val="0"/>
          <w:i w:val="0"/>
          <w:sz w:val="21"/>
          <w:lang w:val="en-US" w:eastAsia="zh-CN" w:bidi="ar-SA"/>
        </w:rPr>
        <w:t>6.1.</w:t>
      </w:r>
      <w:r>
        <w:rPr>
          <w:rFonts w:hint="eastAsia" w:ascii="黑体" w:eastAsia="黑体" w:cs="Times New Roman"/>
          <w:b w:val="0"/>
          <w:i w:val="0"/>
          <w:sz w:val="21"/>
          <w:lang w:val="en-US" w:eastAsia="zh-CN" w:bidi="ar-SA"/>
        </w:rPr>
        <w:t>1</w:t>
      </w:r>
      <w:r>
        <w:rPr>
          <w:rFonts w:hint="eastAsia" w:ascii="黑体" w:hAnsi="Times New Roman" w:eastAsia="黑体" w:cs="Times New Roman"/>
          <w:b w:val="0"/>
          <w:i w:val="0"/>
          <w:sz w:val="21"/>
          <w:lang w:val="en-US" w:eastAsia="zh-CN" w:bidi="ar-SA"/>
        </w:rPr>
        <w:t>　</w:t>
      </w:r>
      <w:r>
        <w:rPr>
          <w:rFonts w:hint="eastAsia" w:eastAsia="宋体"/>
          <w:lang w:val="en-US" w:eastAsia="zh-CN"/>
        </w:rPr>
        <w:t>总体</w:t>
      </w:r>
      <w:r>
        <w:rPr>
          <w:rFonts w:hint="eastAsia"/>
        </w:rPr>
        <w:t>要求：</w:t>
      </w:r>
    </w:p>
    <w:p w14:paraId="25FDD7BF">
      <w:pPr>
        <w:pStyle w:val="175"/>
      </w:pPr>
      <w:r>
        <w:rPr>
          <w:rFonts w:hint="eastAsia"/>
        </w:rPr>
        <w:t>系统应能实时、准确地采集堆场环境及作业相关数据。</w:t>
      </w:r>
    </w:p>
    <w:p w14:paraId="33610ADD">
      <w:pPr>
        <w:pStyle w:val="175"/>
      </w:pPr>
      <w:r>
        <w:rPr>
          <w:rFonts w:hint="eastAsia"/>
        </w:rPr>
        <w:t>所有监测设备应具备：</w:t>
      </w:r>
    </w:p>
    <w:p w14:paraId="6A93926C">
      <w:pPr>
        <w:pStyle w:val="175"/>
        <w:numPr>
          <w:ilvl w:val="-1"/>
          <w:numId w:val="0"/>
        </w:numPr>
        <w:ind w:left="425" w:firstLine="0"/>
        <w:rPr>
          <w:rFonts w:hint="default" w:ascii="Times New Roman"/>
        </w:rPr>
      </w:pPr>
      <w:r>
        <w:rPr>
          <w:rFonts w:hint="eastAsia"/>
        </w:rPr>
        <w:t xml:space="preserve">* </w:t>
      </w:r>
      <w:r>
        <w:rPr>
          <w:rFonts w:hint="default" w:ascii="Times New Roman"/>
        </w:rPr>
        <w:t>风速</w:t>
      </w:r>
      <w:r>
        <w:rPr>
          <w:rFonts w:hint="eastAsia" w:ascii="Times New Roman"/>
          <w:lang w:val="en-US" w:eastAsia="zh-CN"/>
        </w:rPr>
        <w:t>传感器</w:t>
      </w:r>
      <w:r>
        <w:rPr>
          <w:rFonts w:hint="default" w:ascii="Times New Roman"/>
        </w:rPr>
        <w:t>误差≤±0.3m/s，温度</w:t>
      </w:r>
      <w:r>
        <w:rPr>
          <w:rFonts w:hint="eastAsia" w:ascii="Times New Roman"/>
          <w:lang w:val="en-US" w:eastAsia="zh-CN"/>
        </w:rPr>
        <w:t>传感器</w:t>
      </w:r>
      <w:r>
        <w:rPr>
          <w:rFonts w:hint="default" w:ascii="Times New Roman"/>
        </w:rPr>
        <w:t>误差≤±0.5℃。</w:t>
      </w:r>
    </w:p>
    <w:p w14:paraId="7C00C893">
      <w:pPr>
        <w:pStyle w:val="175"/>
        <w:numPr>
          <w:ilvl w:val="-1"/>
          <w:numId w:val="0"/>
        </w:numPr>
        <w:ind w:left="425" w:firstLine="0"/>
        <w:rPr>
          <w:rFonts w:hint="default" w:ascii="Times New Roman"/>
        </w:rPr>
      </w:pPr>
      <w:r>
        <w:rPr>
          <w:rFonts w:hint="default" w:ascii="Times New Roman"/>
        </w:rPr>
        <w:t>* 防护等级</w:t>
      </w:r>
      <w:r>
        <w:rPr>
          <w:rFonts w:hint="eastAsia" w:ascii="Times New Roman"/>
          <w:lang w:val="en-US" w:eastAsia="zh-CN"/>
        </w:rPr>
        <w:t>应</w:t>
      </w:r>
      <w:r>
        <w:rPr>
          <w:rFonts w:hint="default" w:ascii="Times New Roman"/>
        </w:rPr>
        <w:t>不低于IP65。</w:t>
      </w:r>
    </w:p>
    <w:p w14:paraId="46D8D924">
      <w:pPr>
        <w:pStyle w:val="175"/>
        <w:numPr>
          <w:ilvl w:val="-1"/>
          <w:numId w:val="0"/>
        </w:numPr>
        <w:ind w:left="425" w:firstLine="0"/>
        <w:rPr>
          <w:rFonts w:hint="default" w:ascii="Times New Roman"/>
        </w:rPr>
      </w:pPr>
      <w:r>
        <w:rPr>
          <w:rFonts w:hint="default" w:ascii="Times New Roman"/>
        </w:rPr>
        <w:t>* 必要的防爆认证。</w:t>
      </w:r>
    </w:p>
    <w:p w14:paraId="49B8D048">
      <w:pPr>
        <w:pStyle w:val="175"/>
        <w:numPr>
          <w:ilvl w:val="-1"/>
          <w:numId w:val="0"/>
        </w:numPr>
        <w:ind w:left="425" w:firstLine="0"/>
        <w:rPr>
          <w:rFonts w:hint="default" w:ascii="Times New Roman"/>
        </w:rPr>
      </w:pPr>
      <w:r>
        <w:rPr>
          <w:rFonts w:hint="default" w:ascii="Times New Roman"/>
        </w:rPr>
        <w:t>* 校准功能或接口，并定期进行校准维护。</w:t>
      </w:r>
    </w:p>
    <w:p w14:paraId="18B45936">
      <w:pPr>
        <w:pStyle w:val="175"/>
        <w:numPr>
          <w:ilvl w:val="-1"/>
          <w:numId w:val="0"/>
        </w:numPr>
        <w:ind w:left="425" w:firstLine="0"/>
        <w:rPr>
          <w:rFonts w:hint="default" w:ascii="Times New Roman"/>
        </w:rPr>
      </w:pPr>
      <w:r>
        <w:rPr>
          <w:rFonts w:hint="default" w:ascii="Times New Roman"/>
        </w:rPr>
        <w:t>* 时间同步能力，确保多源数据时间戳一致。</w:t>
      </w:r>
    </w:p>
    <w:p w14:paraId="499FE491">
      <w:pPr>
        <w:pStyle w:val="175"/>
      </w:pPr>
      <w:r>
        <w:rPr>
          <w:rFonts w:hint="eastAsia"/>
        </w:rPr>
        <w:t>数据采集频率应满足决策需求，默认</w:t>
      </w:r>
      <w:r>
        <w:rPr>
          <w:rFonts w:hint="default" w:ascii="Times New Roman"/>
        </w:rPr>
        <w:t>不低于5 min/次，在气象条件剧烈变化或粉尘浓度快速上升时，系统应能自动或手动提高采集频率</w:t>
      </w:r>
      <w:r>
        <w:rPr>
          <w:rFonts w:hint="eastAsia"/>
        </w:rPr>
        <w:t>。</w:t>
      </w:r>
    </w:p>
    <w:p w14:paraId="2BB4A01B">
      <w:pPr>
        <w:pStyle w:val="166"/>
        <w:numPr>
          <w:ilvl w:val="3"/>
          <w:numId w:val="0"/>
        </w:numPr>
      </w:pPr>
      <w:r>
        <w:rPr>
          <w:rFonts w:hint="eastAsia" w:ascii="黑体" w:hAnsi="Times New Roman" w:eastAsia="黑体" w:cs="Times New Roman"/>
          <w:b w:val="0"/>
          <w:i w:val="0"/>
          <w:sz w:val="21"/>
          <w:lang w:val="en-US" w:eastAsia="zh-CN" w:bidi="ar-SA"/>
        </w:rPr>
        <w:t>6.1.</w:t>
      </w:r>
      <w:r>
        <w:rPr>
          <w:rFonts w:hint="eastAsia" w:ascii="黑体" w:eastAsia="黑体" w:cs="Times New Roman"/>
          <w:b w:val="0"/>
          <w:i w:val="0"/>
          <w:sz w:val="21"/>
          <w:lang w:val="en-US" w:eastAsia="zh-CN" w:bidi="ar-SA"/>
        </w:rPr>
        <w:t>2</w:t>
      </w:r>
      <w:r>
        <w:rPr>
          <w:rFonts w:hint="eastAsia" w:ascii="黑体" w:hAnsi="Times New Roman" w:eastAsia="黑体" w:cs="Times New Roman"/>
          <w:b w:val="0"/>
          <w:i w:val="0"/>
          <w:sz w:val="21"/>
          <w:lang w:val="en-US" w:eastAsia="zh-CN" w:bidi="ar-SA"/>
        </w:rPr>
        <w:t>　</w:t>
      </w:r>
      <w:r>
        <w:rPr>
          <w:rFonts w:hint="eastAsia"/>
        </w:rPr>
        <w:t>生产作业数据采集应满足以下技术要求：</w:t>
      </w:r>
    </w:p>
    <w:p w14:paraId="4B6EFB62">
      <w:pPr>
        <w:pStyle w:val="175"/>
      </w:pPr>
      <w:r>
        <w:t>应具备货种、垛位、场存量</w:t>
      </w:r>
      <w:r>
        <w:rPr>
          <w:rFonts w:hint="eastAsia"/>
        </w:rPr>
        <w:t>、堆垛尺寸、物料特性、作业状态等</w:t>
      </w:r>
      <w:r>
        <w:t>数据录入/导入功能</w:t>
      </w:r>
      <w:r>
        <w:rPr>
          <w:rFonts w:hint="eastAsia"/>
        </w:rPr>
        <w:t>。</w:t>
      </w:r>
    </w:p>
    <w:p w14:paraId="7BAEB4B1">
      <w:pPr>
        <w:pStyle w:val="175"/>
      </w:pPr>
      <w:r>
        <w:rPr>
          <w:rFonts w:hint="eastAsia"/>
        </w:rPr>
        <w:t xml:space="preserve"> 应支持对特殊货种的喷淋需求参数进行录入、标记和管理。</w:t>
      </w:r>
    </w:p>
    <w:p w14:paraId="7856DF30">
      <w:pPr>
        <w:pStyle w:val="175"/>
      </w:pPr>
      <w:r>
        <w:t>应支持</w:t>
      </w:r>
      <w:r>
        <w:rPr>
          <w:rFonts w:hint="eastAsia"/>
          <w:lang w:val="en-US" w:eastAsia="zh-CN"/>
        </w:rPr>
        <w:t>对</w:t>
      </w:r>
      <w:r>
        <w:t>垛位状态</w:t>
      </w:r>
      <w:r>
        <w:rPr>
          <w:rFonts w:hint="eastAsia"/>
          <w:lang w:val="en-US" w:eastAsia="zh-CN"/>
        </w:rPr>
        <w:t>进行</w:t>
      </w:r>
      <w:r>
        <w:t>录入、标记</w:t>
      </w:r>
      <w:r>
        <w:rPr>
          <w:rFonts w:hint="eastAsia"/>
          <w:lang w:val="en-US" w:eastAsia="zh-CN"/>
        </w:rPr>
        <w:t>和</w:t>
      </w:r>
      <w:r>
        <w:t>管理。</w:t>
      </w:r>
    </w:p>
    <w:p w14:paraId="37BD1C10">
      <w:pPr>
        <w:pStyle w:val="166"/>
        <w:numPr>
          <w:ilvl w:val="3"/>
          <w:numId w:val="0"/>
        </w:numPr>
      </w:pPr>
      <w:r>
        <w:rPr>
          <w:rFonts w:hint="eastAsia" w:ascii="黑体" w:hAnsi="Times New Roman" w:eastAsia="黑体" w:cs="Times New Roman"/>
          <w:b w:val="0"/>
          <w:i w:val="0"/>
          <w:sz w:val="21"/>
          <w:lang w:val="en-US" w:eastAsia="zh-CN" w:bidi="ar-SA"/>
        </w:rPr>
        <w:t>6.1.</w:t>
      </w:r>
      <w:r>
        <w:rPr>
          <w:rFonts w:hint="eastAsia" w:ascii="黑体" w:eastAsia="黑体" w:cs="Times New Roman"/>
          <w:b w:val="0"/>
          <w:i w:val="0"/>
          <w:sz w:val="21"/>
          <w:lang w:val="en-US" w:eastAsia="zh-CN" w:bidi="ar-SA"/>
        </w:rPr>
        <w:t>3</w:t>
      </w:r>
      <w:r>
        <w:rPr>
          <w:rFonts w:hint="eastAsia" w:ascii="黑体" w:hAnsi="Times New Roman" w:eastAsia="黑体" w:cs="Times New Roman"/>
          <w:b w:val="0"/>
          <w:i w:val="0"/>
          <w:sz w:val="21"/>
          <w:lang w:val="en-US" w:eastAsia="zh-CN" w:bidi="ar-SA"/>
        </w:rPr>
        <w:t>　</w:t>
      </w:r>
      <w:r>
        <w:rPr>
          <w:rFonts w:hint="eastAsia"/>
        </w:rPr>
        <w:t>气象监测数据采集应满足以下技术要求：</w:t>
      </w:r>
    </w:p>
    <w:p w14:paraId="6CEA73BE">
      <w:pPr>
        <w:pStyle w:val="175"/>
        <w:numPr>
          <w:ilvl w:val="0"/>
          <w:numId w:val="32"/>
        </w:numPr>
        <w:rPr>
          <w:rFonts w:ascii="Times New Roman"/>
        </w:rPr>
      </w:pPr>
      <w:r>
        <w:rPr>
          <w:rFonts w:hint="eastAsia"/>
        </w:rPr>
        <w:t>采集参数至少包括：风速、风向、空气温度、空气相对湿度、降水量、大气压。</w:t>
      </w:r>
    </w:p>
    <w:p w14:paraId="543F9A7A">
      <w:pPr>
        <w:pStyle w:val="175"/>
        <w:rPr>
          <w:rFonts w:ascii="Times New Roman"/>
        </w:rPr>
      </w:pPr>
      <w:r>
        <w:rPr>
          <w:rFonts w:hint="eastAsia" w:ascii="Times New Roman"/>
          <w:lang w:val="en-US" w:eastAsia="zh-CN"/>
        </w:rPr>
        <w:t>设备要求：</w:t>
      </w:r>
    </w:p>
    <w:p w14:paraId="69103963">
      <w:pPr>
        <w:pStyle w:val="175"/>
        <w:numPr>
          <w:ilvl w:val="-1"/>
          <w:numId w:val="0"/>
        </w:numPr>
        <w:ind w:left="425" w:firstLine="0"/>
        <w:rPr>
          <w:rFonts w:hint="default" w:ascii="Times New Roman"/>
        </w:rPr>
      </w:pPr>
      <w:r>
        <w:rPr>
          <w:rFonts w:hint="eastAsia"/>
        </w:rPr>
        <w:t>* 风速风向传感器：量程</w:t>
      </w:r>
      <w:r>
        <w:rPr>
          <w:rFonts w:hint="eastAsia"/>
          <w:lang w:val="en-US" w:eastAsia="zh-CN"/>
        </w:rPr>
        <w:t>应为</w:t>
      </w:r>
      <w:r>
        <w:rPr>
          <w:rFonts w:hint="default" w:ascii="Times New Roman"/>
        </w:rPr>
        <w:t>0-60</w:t>
      </w:r>
      <w:r>
        <w:rPr>
          <w:rFonts w:hint="default" w:ascii="Times New Roman"/>
          <w:lang w:val="en-US" w:eastAsia="zh-CN"/>
        </w:rPr>
        <w:t xml:space="preserve"> </w:t>
      </w:r>
      <w:r>
        <w:rPr>
          <w:rFonts w:hint="default" w:ascii="Times New Roman"/>
        </w:rPr>
        <w:t>m/s，启动风速≤0.5m/s。</w:t>
      </w:r>
    </w:p>
    <w:p w14:paraId="76C9F82B">
      <w:pPr>
        <w:pStyle w:val="175"/>
        <w:numPr>
          <w:ilvl w:val="-1"/>
          <w:numId w:val="0"/>
        </w:numPr>
        <w:ind w:left="425" w:firstLine="0"/>
        <w:rPr>
          <w:rFonts w:hint="default" w:ascii="Times New Roman"/>
        </w:rPr>
      </w:pPr>
      <w:r>
        <w:rPr>
          <w:rFonts w:hint="default" w:ascii="Times New Roman"/>
        </w:rPr>
        <w:t>* 温湿度传感器：温度范围应</w:t>
      </w:r>
      <w:r>
        <w:rPr>
          <w:rFonts w:hint="eastAsia" w:ascii="Times New Roman"/>
          <w:lang w:val="en-US" w:eastAsia="zh-CN"/>
        </w:rPr>
        <w:t>为</w:t>
      </w:r>
      <w:r>
        <w:rPr>
          <w:rFonts w:hint="default" w:ascii="Times New Roman"/>
        </w:rPr>
        <w:t>-30℃ ~ +70℃，湿度范围</w:t>
      </w:r>
      <w:r>
        <w:rPr>
          <w:rFonts w:hint="eastAsia" w:ascii="Times New Roman"/>
          <w:lang w:val="en-US" w:eastAsia="zh-CN"/>
        </w:rPr>
        <w:t>应为</w:t>
      </w:r>
      <w:r>
        <w:rPr>
          <w:rFonts w:hint="default" w:ascii="Times New Roman"/>
        </w:rPr>
        <w:t>0-100%RH。</w:t>
      </w:r>
    </w:p>
    <w:p w14:paraId="2806EE1C">
      <w:pPr>
        <w:pStyle w:val="175"/>
        <w:numPr>
          <w:ilvl w:val="-1"/>
          <w:numId w:val="0"/>
        </w:numPr>
        <w:ind w:left="425" w:firstLine="0"/>
        <w:rPr>
          <w:rFonts w:hint="default" w:ascii="Times New Roman"/>
        </w:rPr>
      </w:pPr>
      <w:r>
        <w:rPr>
          <w:rFonts w:hint="default" w:ascii="Times New Roman"/>
        </w:rPr>
        <w:t>* 雨量计：分辨率至少0.2</w:t>
      </w:r>
      <w:r>
        <w:rPr>
          <w:rFonts w:hint="eastAsia" w:ascii="Times New Roman"/>
          <w:lang w:val="en-US" w:eastAsia="zh-CN"/>
        </w:rPr>
        <w:t xml:space="preserve"> </w:t>
      </w:r>
      <w:r>
        <w:rPr>
          <w:rFonts w:hint="default" w:ascii="Times New Roman"/>
        </w:rPr>
        <w:t>mm，承雨口尺寸符合标准。</w:t>
      </w:r>
    </w:p>
    <w:p w14:paraId="7967295F">
      <w:pPr>
        <w:pStyle w:val="175"/>
        <w:rPr>
          <w:rFonts w:ascii="Times New Roman"/>
        </w:rPr>
      </w:pPr>
      <w:r>
        <w:rPr>
          <w:rFonts w:hint="eastAsia" w:ascii="Times New Roman"/>
        </w:rPr>
        <w:t>数据采集频率应不低于5 min/次</w:t>
      </w:r>
      <w:r>
        <w:rPr>
          <w:rFonts w:hint="default" w:ascii="Times New Roman"/>
        </w:rPr>
        <w:t>。</w:t>
      </w:r>
    </w:p>
    <w:p w14:paraId="0DB86395">
      <w:pPr>
        <w:pStyle w:val="166"/>
        <w:numPr>
          <w:ilvl w:val="3"/>
          <w:numId w:val="0"/>
        </w:numPr>
        <w:rPr>
          <w:rFonts w:hint="eastAsia"/>
        </w:rPr>
      </w:pPr>
      <w:r>
        <w:rPr>
          <w:rFonts w:hint="eastAsia" w:ascii="黑体" w:hAnsi="Times New Roman" w:eastAsia="黑体" w:cs="Times New Roman"/>
          <w:b w:val="0"/>
          <w:i w:val="0"/>
          <w:sz w:val="21"/>
          <w:lang w:val="en-US" w:eastAsia="zh-CN" w:bidi="ar-SA"/>
        </w:rPr>
        <w:t>6.1.</w:t>
      </w:r>
      <w:r>
        <w:rPr>
          <w:rFonts w:hint="eastAsia" w:ascii="黑体" w:eastAsia="黑体" w:cs="Times New Roman"/>
          <w:b w:val="0"/>
          <w:i w:val="0"/>
          <w:sz w:val="21"/>
          <w:lang w:val="en-US" w:eastAsia="zh-CN" w:bidi="ar-SA"/>
        </w:rPr>
        <w:t>4</w:t>
      </w:r>
      <w:r>
        <w:rPr>
          <w:rFonts w:hint="eastAsia" w:ascii="黑体" w:hAnsi="Times New Roman" w:eastAsia="黑体" w:cs="Times New Roman"/>
          <w:b w:val="0"/>
          <w:i w:val="0"/>
          <w:sz w:val="21"/>
          <w:lang w:val="en-US" w:eastAsia="zh-CN" w:bidi="ar-SA"/>
        </w:rPr>
        <w:t>　</w:t>
      </w:r>
      <w:r>
        <w:rPr>
          <w:rFonts w:hint="eastAsia"/>
        </w:rPr>
        <w:t>粉尘浓度数据采集应满足以下技术要求：</w:t>
      </w:r>
    </w:p>
    <w:p w14:paraId="5BE966F4">
      <w:pPr>
        <w:pStyle w:val="175"/>
        <w:numPr>
          <w:ilvl w:val="0"/>
          <w:numId w:val="33"/>
        </w:numPr>
        <w:rPr>
          <w:rFonts w:ascii="Times New Roman"/>
        </w:rPr>
      </w:pPr>
      <w:r>
        <w:rPr>
          <w:rFonts w:hint="eastAsia"/>
        </w:rPr>
        <w:t>采集参数至少包</w:t>
      </w:r>
      <w:r>
        <w:rPr>
          <w:rFonts w:hint="default" w:ascii="Times New Roman"/>
        </w:rPr>
        <w:t>括总悬浮颗粒物(TSP)。宜增加可吸入颗粒物(PM</w:t>
      </w:r>
      <w:r>
        <w:rPr>
          <w:rFonts w:hint="default" w:ascii="Times New Roman"/>
          <w:vertAlign w:val="subscript"/>
        </w:rPr>
        <w:t>10</w:t>
      </w:r>
      <w:r>
        <w:rPr>
          <w:rFonts w:hint="default" w:ascii="Times New Roman"/>
        </w:rPr>
        <w:t>)和细颗粒物(PM</w:t>
      </w:r>
      <w:r>
        <w:rPr>
          <w:rFonts w:hint="default" w:ascii="Times New Roman"/>
          <w:vertAlign w:val="subscript"/>
        </w:rPr>
        <w:t>2.5</w:t>
      </w:r>
      <w:r>
        <w:rPr>
          <w:rFonts w:hint="default" w:ascii="Times New Roman"/>
        </w:rPr>
        <w:t>)的监测能力，以更精准评估扬尘影响。</w:t>
      </w:r>
    </w:p>
    <w:p w14:paraId="19ED64F4">
      <w:pPr>
        <w:pStyle w:val="175"/>
        <w:numPr>
          <w:ilvl w:val="0"/>
          <w:numId w:val="33"/>
        </w:numPr>
      </w:pPr>
      <w:r>
        <w:rPr>
          <w:rFonts w:hint="eastAsia"/>
          <w:lang w:val="en-US" w:eastAsia="zh-CN"/>
        </w:rPr>
        <w:t>设备要求：</w:t>
      </w:r>
    </w:p>
    <w:p w14:paraId="470E90CD">
      <w:pPr>
        <w:pStyle w:val="175"/>
        <w:numPr>
          <w:ilvl w:val="-1"/>
          <w:numId w:val="0"/>
        </w:numPr>
        <w:ind w:left="425" w:firstLine="0"/>
        <w:rPr>
          <w:rFonts w:hint="default" w:ascii="Times New Roman"/>
        </w:rPr>
      </w:pPr>
      <w:r>
        <w:rPr>
          <w:rFonts w:hint="eastAsia"/>
        </w:rPr>
        <w:t>* 监测方法：</w:t>
      </w:r>
      <w:r>
        <w:rPr>
          <w:rFonts w:hint="default" w:ascii="Times New Roman"/>
        </w:rPr>
        <w:t>TSP监测宜采用β射线吸收法或振荡天平法；PM</w:t>
      </w:r>
      <w:r>
        <w:rPr>
          <w:rFonts w:hint="default" w:ascii="Times New Roman"/>
          <w:vertAlign w:val="subscript"/>
        </w:rPr>
        <w:t>10</w:t>
      </w:r>
      <w:r>
        <w:rPr>
          <w:rFonts w:hint="default" w:ascii="Times New Roman"/>
        </w:rPr>
        <w:t>/PM</w:t>
      </w:r>
      <w:r>
        <w:rPr>
          <w:rFonts w:hint="default" w:ascii="Times New Roman"/>
          <w:vertAlign w:val="subscript"/>
        </w:rPr>
        <w:t>2.5</w:t>
      </w:r>
      <w:r>
        <w:rPr>
          <w:rFonts w:hint="default" w:ascii="Times New Roman"/>
        </w:rPr>
        <w:t>监测宜采用β射线吸收法、光散射法（需具备湿度补偿）或微量振荡天平法。设备应符合国家相关计量检定规程。</w:t>
      </w:r>
    </w:p>
    <w:p w14:paraId="45A51DDB">
      <w:pPr>
        <w:pStyle w:val="175"/>
        <w:numPr>
          <w:ilvl w:val="-1"/>
          <w:numId w:val="0"/>
        </w:numPr>
        <w:ind w:left="425" w:firstLine="0"/>
        <w:rPr>
          <w:rFonts w:hint="default" w:ascii="Times New Roman"/>
        </w:rPr>
      </w:pPr>
      <w:r>
        <w:rPr>
          <w:rFonts w:hint="default" w:ascii="Times New Roman"/>
        </w:rPr>
        <w:t>* 量程与精度：量程应覆盖预期浓度范围，相对误差≤±15%或符合设备等级要求。</w:t>
      </w:r>
    </w:p>
    <w:p w14:paraId="19168979">
      <w:pPr>
        <w:pStyle w:val="175"/>
        <w:numPr>
          <w:ilvl w:val="-1"/>
          <w:numId w:val="0"/>
        </w:numPr>
        <w:ind w:left="425" w:firstLine="0"/>
      </w:pPr>
      <w:r>
        <w:rPr>
          <w:rFonts w:hint="default" w:ascii="Times New Roman"/>
        </w:rPr>
        <w:t>* 具备自动吹扫或防雨防尘设计，减少环境对测量的干扰。</w:t>
      </w:r>
    </w:p>
    <w:p w14:paraId="57746131">
      <w:pPr>
        <w:pStyle w:val="166"/>
        <w:numPr>
          <w:ilvl w:val="3"/>
          <w:numId w:val="0"/>
        </w:numPr>
        <w:rPr>
          <w:rFonts w:hint="eastAsia"/>
        </w:rPr>
      </w:pPr>
      <w:r>
        <w:rPr>
          <w:rFonts w:hint="eastAsia" w:ascii="黑体" w:hAnsi="Times New Roman" w:eastAsia="黑体" w:cs="Times New Roman"/>
          <w:b w:val="0"/>
          <w:i w:val="0"/>
          <w:sz w:val="21"/>
          <w:lang w:val="en-US" w:eastAsia="zh-CN" w:bidi="ar-SA"/>
        </w:rPr>
        <w:t>6.1.</w:t>
      </w:r>
      <w:r>
        <w:rPr>
          <w:rFonts w:hint="eastAsia" w:ascii="黑体" w:eastAsia="黑体" w:cs="Times New Roman"/>
          <w:b w:val="0"/>
          <w:i w:val="0"/>
          <w:sz w:val="21"/>
          <w:lang w:val="en-US" w:eastAsia="zh-CN" w:bidi="ar-SA"/>
        </w:rPr>
        <w:t>5</w:t>
      </w:r>
      <w:r>
        <w:rPr>
          <w:rFonts w:hint="eastAsia" w:ascii="黑体" w:hAnsi="Times New Roman" w:eastAsia="黑体" w:cs="Times New Roman"/>
          <w:b w:val="0"/>
          <w:i w:val="0"/>
          <w:sz w:val="21"/>
          <w:lang w:val="en-US" w:eastAsia="zh-CN" w:bidi="ar-SA"/>
        </w:rPr>
        <w:t>　</w:t>
      </w:r>
      <w:r>
        <w:rPr>
          <w:rFonts w:hint="eastAsia" w:eastAsia="宋体"/>
          <w:lang w:val="en-US" w:eastAsia="zh-CN"/>
        </w:rPr>
        <w:t>视频监控</w:t>
      </w:r>
      <w:r>
        <w:rPr>
          <w:rFonts w:hint="eastAsia"/>
        </w:rPr>
        <w:t>数据应满足以下技术要求：</w:t>
      </w:r>
    </w:p>
    <w:p w14:paraId="72AB06F6">
      <w:pPr>
        <w:pStyle w:val="175"/>
        <w:numPr>
          <w:ilvl w:val="0"/>
          <w:numId w:val="34"/>
        </w:numPr>
      </w:pPr>
      <w:r>
        <w:rPr>
          <w:rFonts w:hint="eastAsia"/>
        </w:rPr>
        <w:t>摄像机应具备高清分辨率、宽动态范围、夜视功能。</w:t>
      </w:r>
    </w:p>
    <w:p w14:paraId="381FB3C8">
      <w:pPr>
        <w:pStyle w:val="175"/>
        <w:numPr>
          <w:ilvl w:val="0"/>
          <w:numId w:val="34"/>
        </w:numPr>
      </w:pPr>
      <w:r>
        <w:rPr>
          <w:rFonts w:hint="eastAsia"/>
        </w:rPr>
        <w:t>视频流可用于辅助堆场状态确认、喷淋效果视觉评估、事故追溯等。</w:t>
      </w:r>
    </w:p>
    <w:p w14:paraId="445E373A">
      <w:pPr>
        <w:pStyle w:val="166"/>
        <w:numPr>
          <w:ilvl w:val="3"/>
          <w:numId w:val="0"/>
        </w:numPr>
        <w:rPr>
          <w:rFonts w:hint="eastAsia"/>
        </w:rPr>
      </w:pPr>
      <w:r>
        <w:rPr>
          <w:rFonts w:hint="eastAsia" w:ascii="黑体" w:hAnsi="Times New Roman" w:eastAsia="黑体" w:cs="Times New Roman"/>
          <w:b w:val="0"/>
          <w:i w:val="0"/>
          <w:sz w:val="21"/>
          <w:lang w:val="en-US" w:eastAsia="zh-CN" w:bidi="ar-SA"/>
        </w:rPr>
        <w:t>6.1.</w:t>
      </w:r>
      <w:r>
        <w:rPr>
          <w:rFonts w:hint="eastAsia" w:ascii="黑体" w:eastAsia="黑体" w:cs="Times New Roman"/>
          <w:b w:val="0"/>
          <w:i w:val="0"/>
          <w:sz w:val="21"/>
          <w:lang w:val="en-US" w:eastAsia="zh-CN" w:bidi="ar-SA"/>
        </w:rPr>
        <w:t>6</w:t>
      </w:r>
      <w:r>
        <w:rPr>
          <w:rFonts w:hint="eastAsia" w:ascii="黑体" w:hAnsi="Times New Roman" w:eastAsia="黑体" w:cs="Times New Roman"/>
          <w:b w:val="0"/>
          <w:i w:val="0"/>
          <w:sz w:val="21"/>
          <w:lang w:val="en-US" w:eastAsia="zh-CN" w:bidi="ar-SA"/>
        </w:rPr>
        <w:t>　</w:t>
      </w:r>
      <w:r>
        <w:rPr>
          <w:rFonts w:hint="eastAsia"/>
          <w:lang w:val="en-US" w:eastAsia="zh-CN"/>
        </w:rPr>
        <w:t>监测点位布置</w:t>
      </w:r>
      <w:r>
        <w:rPr>
          <w:rFonts w:hint="eastAsia"/>
        </w:rPr>
        <w:t>应满足以下</w:t>
      </w:r>
      <w:r>
        <w:rPr>
          <w:rFonts w:hint="eastAsia"/>
          <w:lang w:val="en-US" w:eastAsia="zh-CN"/>
        </w:rPr>
        <w:t>原则</w:t>
      </w:r>
      <w:r>
        <w:rPr>
          <w:rFonts w:hint="eastAsia"/>
        </w:rPr>
        <w:t>：</w:t>
      </w:r>
    </w:p>
    <w:p w14:paraId="2B4E8FBA">
      <w:pPr>
        <w:pStyle w:val="175"/>
        <w:numPr>
          <w:ilvl w:val="0"/>
          <w:numId w:val="35"/>
        </w:numPr>
      </w:pPr>
      <w:r>
        <w:rPr>
          <w:rFonts w:hint="eastAsia"/>
        </w:rPr>
        <w:t>监测点位布置应满足</w:t>
      </w:r>
      <w:r>
        <w:rPr>
          <w:rFonts w:hint="default" w:ascii="Times New Roman"/>
        </w:rPr>
        <w:t>HJ 664</w:t>
      </w:r>
      <w:r>
        <w:rPr>
          <w:rFonts w:hint="eastAsia"/>
        </w:rPr>
        <w:t>的有关规定。</w:t>
      </w:r>
    </w:p>
    <w:p w14:paraId="6BDEA254">
      <w:pPr>
        <w:pStyle w:val="175"/>
        <w:numPr>
          <w:ilvl w:val="0"/>
          <w:numId w:val="35"/>
        </w:numPr>
      </w:pPr>
      <w:r>
        <w:rPr>
          <w:rFonts w:hint="eastAsia"/>
          <w:lang w:val="en-US" w:eastAsia="zh-CN"/>
        </w:rPr>
        <w:t>优先覆盖关键区域：</w:t>
      </w:r>
    </w:p>
    <w:p w14:paraId="4E22C219">
      <w:pPr>
        <w:pStyle w:val="175"/>
        <w:numPr>
          <w:ilvl w:val="-1"/>
          <w:numId w:val="0"/>
        </w:numPr>
        <w:ind w:left="425" w:firstLine="0"/>
        <w:rPr>
          <w:rFonts w:hint="eastAsia"/>
        </w:rPr>
      </w:pPr>
      <w:r>
        <w:rPr>
          <w:rFonts w:hint="eastAsia"/>
        </w:rPr>
        <w:t>* 厂界主导风向下风向侧：必须布设气象站和粉尘监测点，重点监控对外界的影响。</w:t>
      </w:r>
    </w:p>
    <w:p w14:paraId="2BCCBDBB">
      <w:pPr>
        <w:pStyle w:val="175"/>
        <w:numPr>
          <w:ilvl w:val="-1"/>
          <w:numId w:val="0"/>
        </w:numPr>
        <w:ind w:left="425" w:firstLine="0"/>
        <w:rPr>
          <w:rFonts w:hint="eastAsia"/>
        </w:rPr>
      </w:pPr>
      <w:r>
        <w:rPr>
          <w:rFonts w:hint="eastAsia"/>
        </w:rPr>
        <w:t>* 堆场内易起尘区域：转运点、堆取料机作业区、未覆盖或低含水率垛位周边。</w:t>
      </w:r>
    </w:p>
    <w:p w14:paraId="1062819D">
      <w:pPr>
        <w:pStyle w:val="175"/>
        <w:numPr>
          <w:ilvl w:val="-1"/>
          <w:numId w:val="0"/>
        </w:numPr>
        <w:ind w:left="425" w:firstLine="0"/>
        <w:rPr>
          <w:rFonts w:hint="default" w:ascii="Times New Roman"/>
        </w:rPr>
      </w:pPr>
      <w:r>
        <w:rPr>
          <w:rFonts w:hint="eastAsia"/>
        </w:rPr>
        <w:t>* 敏感目标上风向：若堆场附近有敏感目标（居民区、学校等），其最近厂界及上风向应加强监测。</w:t>
      </w:r>
    </w:p>
    <w:p w14:paraId="61363680">
      <w:pPr>
        <w:pStyle w:val="175"/>
        <w:numPr>
          <w:ilvl w:val="0"/>
          <w:numId w:val="35"/>
        </w:numPr>
        <w:rPr>
          <w:rFonts w:hint="eastAsia"/>
        </w:rPr>
      </w:pPr>
      <w:r>
        <w:rPr>
          <w:rFonts w:hint="eastAsia"/>
        </w:rPr>
        <w:t>在堆场面积允许、预算充足的情况下，宜采用网格化布点方法。根据堆场大小和货种分布，网格间距建议</w:t>
      </w:r>
      <w:r>
        <w:rPr>
          <w:rFonts w:hint="default" w:ascii="Times New Roman"/>
        </w:rPr>
        <w:t>在20-50</w:t>
      </w:r>
      <w:r>
        <w:rPr>
          <w:rFonts w:hint="default" w:ascii="Times New Roman"/>
          <w:lang w:val="en-US" w:eastAsia="zh-CN"/>
        </w:rPr>
        <w:t xml:space="preserve"> m</w:t>
      </w:r>
      <w:r>
        <w:rPr>
          <w:rFonts w:hint="default" w:ascii="Times New Roman"/>
        </w:rPr>
        <w:t>范围内。</w:t>
      </w:r>
      <w:r>
        <w:rPr>
          <w:rFonts w:hint="eastAsia"/>
        </w:rPr>
        <w:t>大型堆场或复杂区域可适当加密。</w:t>
      </w:r>
    </w:p>
    <w:p w14:paraId="76AF332E">
      <w:pPr>
        <w:pStyle w:val="175"/>
        <w:numPr>
          <w:ilvl w:val="0"/>
          <w:numId w:val="35"/>
        </w:numPr>
      </w:pPr>
      <w:r>
        <w:rPr>
          <w:rFonts w:hint="eastAsia"/>
        </w:rPr>
        <w:t>网格点应尽量均匀分布，覆盖不同垛位、不同作业状态区域。</w:t>
      </w:r>
    </w:p>
    <w:p w14:paraId="45EFF34F">
      <w:pPr>
        <w:pStyle w:val="175"/>
        <w:numPr>
          <w:ilvl w:val="0"/>
          <w:numId w:val="35"/>
        </w:numPr>
      </w:pPr>
      <w:r>
        <w:rPr>
          <w:rFonts w:hint="eastAsia"/>
        </w:rPr>
        <w:t>粉尘监测点</w:t>
      </w:r>
      <w:r>
        <w:rPr>
          <w:rFonts w:hint="eastAsia"/>
          <w:lang w:val="en-US" w:eastAsia="zh-CN"/>
        </w:rPr>
        <w:t>宜</w:t>
      </w:r>
      <w:r>
        <w:rPr>
          <w:rFonts w:hint="eastAsia"/>
        </w:rPr>
        <w:t>布置在防风网内部，靠近潜在尘源，以监测网内控制效果。宜在防风网背风侧（网内）距网体约</w:t>
      </w:r>
      <w:r>
        <w:rPr>
          <w:rFonts w:hint="default" w:ascii="Times New Roman"/>
        </w:rPr>
        <w:t>2-3</w:t>
      </w:r>
      <w:r>
        <w:rPr>
          <w:rFonts w:hint="eastAsia"/>
        </w:rPr>
        <w:t>倍网高处设置代表性点位。</w:t>
      </w:r>
    </w:p>
    <w:p w14:paraId="52665F98">
      <w:pPr>
        <w:pStyle w:val="106"/>
        <w:numPr>
          <w:ilvl w:val="2"/>
          <w:numId w:val="0"/>
        </w:numPr>
        <w:spacing w:before="120" w:after="120"/>
        <w:outlineLvl w:val="9"/>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6.2　</w:t>
      </w:r>
      <w:r>
        <w:rPr>
          <w:rFonts w:hint="eastAsia"/>
        </w:rPr>
        <w:t>智能决策子系统</w:t>
      </w:r>
    </w:p>
    <w:p w14:paraId="3C6E24A8">
      <w:pPr>
        <w:pStyle w:val="166"/>
        <w:numPr>
          <w:ilvl w:val="3"/>
          <w:numId w:val="0"/>
        </w:numPr>
      </w:pPr>
      <w:r>
        <w:rPr>
          <w:rFonts w:hint="eastAsia" w:ascii="黑体" w:hAnsi="Times New Roman" w:eastAsia="黑体" w:cs="Times New Roman"/>
          <w:b w:val="0"/>
          <w:i w:val="0"/>
          <w:sz w:val="21"/>
          <w:lang w:val="en-US" w:eastAsia="zh-CN" w:bidi="ar-SA"/>
        </w:rPr>
        <w:t>6.2.1　</w:t>
      </w:r>
      <w:r>
        <w:rPr>
          <w:rFonts w:hint="eastAsia"/>
        </w:rPr>
        <w:t>含水率判定决策：</w:t>
      </w:r>
    </w:p>
    <w:p w14:paraId="68812416">
      <w:pPr>
        <w:pStyle w:val="175"/>
        <w:numPr>
          <w:ilvl w:val="0"/>
          <w:numId w:val="36"/>
        </w:numPr>
      </w:pPr>
      <w:r>
        <w:t>应具备堆垛表面含水率预测功能，</w:t>
      </w:r>
      <w:r>
        <w:rPr>
          <w:rFonts w:hint="eastAsia"/>
        </w:rPr>
        <w:t>可根据</w:t>
      </w:r>
      <w:r>
        <w:t>货种、</w:t>
      </w:r>
      <w:r>
        <w:rPr>
          <w:rFonts w:hint="eastAsia"/>
        </w:rPr>
        <w:t>初始含水率、</w:t>
      </w:r>
      <w:r>
        <w:t>气象</w:t>
      </w:r>
      <w:r>
        <w:rPr>
          <w:rFonts w:hint="eastAsia"/>
        </w:rPr>
        <w:t>等</w:t>
      </w:r>
      <w:r>
        <w:t>数据综合判定堆垛表面含水率</w:t>
      </w:r>
      <w:r>
        <w:rPr>
          <w:rFonts w:hint="eastAsia"/>
        </w:rPr>
        <w:t>变化</w:t>
      </w:r>
      <w:r>
        <w:t>。</w:t>
      </w:r>
    </w:p>
    <w:p w14:paraId="3D523EC7">
      <w:pPr>
        <w:pStyle w:val="175"/>
        <w:numPr>
          <w:ilvl w:val="0"/>
          <w:numId w:val="13"/>
        </w:numPr>
      </w:pPr>
      <w:r>
        <w:t>支持</w:t>
      </w:r>
      <w:r>
        <w:rPr>
          <w:rFonts w:hint="eastAsia"/>
        </w:rPr>
        <w:t>分货种、</w:t>
      </w:r>
      <w:r>
        <w:t>分垛位</w:t>
      </w:r>
      <w:r>
        <w:rPr>
          <w:rFonts w:hint="eastAsia"/>
        </w:rPr>
        <w:t>、分区域</w:t>
      </w:r>
      <w:r>
        <w:t>设置不同</w:t>
      </w:r>
      <w:r>
        <w:rPr>
          <w:rFonts w:hint="eastAsia"/>
        </w:rPr>
        <w:t>的</w:t>
      </w:r>
      <w:r>
        <w:t>表面含水率控制</w:t>
      </w:r>
      <w:r>
        <w:rPr>
          <w:rFonts w:hint="eastAsia"/>
        </w:rPr>
        <w:t>指标</w:t>
      </w:r>
      <w:r>
        <w:t>。</w:t>
      </w:r>
    </w:p>
    <w:p w14:paraId="173F2985">
      <w:pPr>
        <w:pStyle w:val="175"/>
        <w:numPr>
          <w:ilvl w:val="0"/>
          <w:numId w:val="13"/>
        </w:numPr>
      </w:pPr>
      <w:r>
        <w:rPr>
          <w:rFonts w:hint="eastAsia"/>
        </w:rPr>
        <w:t>堆垛</w:t>
      </w:r>
      <w:r>
        <w:t>表面含水率低于控制</w:t>
      </w:r>
      <w:r>
        <w:rPr>
          <w:rFonts w:hint="eastAsia"/>
        </w:rPr>
        <w:t>指标</w:t>
      </w:r>
      <w:r>
        <w:t>时，应支持预警信息显示，包括货种</w:t>
      </w:r>
      <w:r>
        <w:rPr>
          <w:rFonts w:hint="eastAsia"/>
        </w:rPr>
        <w:t>信息、</w:t>
      </w:r>
      <w:r>
        <w:t>垛位</w:t>
      </w:r>
      <w:r>
        <w:rPr>
          <w:rFonts w:hint="eastAsia"/>
        </w:rPr>
        <w:t>信息及</w:t>
      </w:r>
      <w:r>
        <w:t>含水率预测值等。</w:t>
      </w:r>
    </w:p>
    <w:p w14:paraId="6D2882E5">
      <w:pPr>
        <w:pStyle w:val="166"/>
        <w:numPr>
          <w:ilvl w:val="3"/>
          <w:numId w:val="0"/>
        </w:numPr>
      </w:pPr>
      <w:r>
        <w:rPr>
          <w:rFonts w:hint="eastAsia" w:ascii="黑体" w:hAnsi="Times New Roman" w:eastAsia="黑体" w:cs="Times New Roman"/>
          <w:b w:val="0"/>
          <w:i w:val="0"/>
          <w:sz w:val="21"/>
          <w:lang w:val="en-US" w:eastAsia="zh-CN" w:bidi="ar-SA"/>
        </w:rPr>
        <w:t>6.2.2　</w:t>
      </w:r>
      <w:r>
        <w:rPr>
          <w:rFonts w:hint="eastAsia"/>
        </w:rPr>
        <w:t>起尘判定决策：</w:t>
      </w:r>
    </w:p>
    <w:p w14:paraId="46327225">
      <w:pPr>
        <w:pStyle w:val="175"/>
        <w:numPr>
          <w:ilvl w:val="0"/>
          <w:numId w:val="37"/>
        </w:numPr>
      </w:pPr>
      <w:r>
        <w:rPr>
          <w:rFonts w:hint="eastAsia"/>
        </w:rPr>
        <w:t>应具备起尘影响趋势预测与溯源功能，可依据气象参数（风速、风向）等数据综合判定粉尘影响趋势与粉尘源排放位置。</w:t>
      </w:r>
    </w:p>
    <w:p w14:paraId="1851BF19">
      <w:pPr>
        <w:pStyle w:val="175"/>
        <w:numPr>
          <w:ilvl w:val="0"/>
          <w:numId w:val="13"/>
        </w:numPr>
      </w:pPr>
      <w:r>
        <w:rPr>
          <w:rFonts w:hint="eastAsia"/>
        </w:rPr>
        <w:t>支持分区域</w:t>
      </w:r>
      <w:r>
        <w:t>设置不同</w:t>
      </w:r>
      <w:r>
        <w:rPr>
          <w:rFonts w:hint="eastAsia"/>
        </w:rPr>
        <w:t>的粉尘浓度控制指标</w:t>
      </w:r>
      <w:r>
        <w:t>。</w:t>
      </w:r>
    </w:p>
    <w:p w14:paraId="131CEAC4">
      <w:pPr>
        <w:pStyle w:val="175"/>
        <w:numPr>
          <w:ilvl w:val="0"/>
          <w:numId w:val="13"/>
        </w:numPr>
      </w:pPr>
      <w:r>
        <w:rPr>
          <w:rFonts w:hint="eastAsia"/>
        </w:rPr>
        <w:t>区域粉尘浓度超过控制指标时，应支持预警信息显示，包括粉尘浓度值、超标区域、排放源位置及可能影响的区域等。</w:t>
      </w:r>
    </w:p>
    <w:p w14:paraId="57671C05">
      <w:pPr>
        <w:pStyle w:val="106"/>
        <w:numPr>
          <w:ilvl w:val="2"/>
          <w:numId w:val="0"/>
        </w:numPr>
        <w:spacing w:before="120" w:after="120"/>
        <w:outlineLvl w:val="9"/>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6.3　</w:t>
      </w:r>
      <w:r>
        <w:rPr>
          <w:rFonts w:hint="eastAsia"/>
        </w:rPr>
        <w:t>喷淋控制子系统</w:t>
      </w:r>
    </w:p>
    <w:p w14:paraId="29AADC36">
      <w:pPr>
        <w:pStyle w:val="166"/>
        <w:numPr>
          <w:ilvl w:val="3"/>
          <w:numId w:val="0"/>
        </w:numPr>
        <w:rPr>
          <w:rFonts w:ascii="Times New Roman"/>
        </w:rPr>
      </w:pPr>
      <w:r>
        <w:rPr>
          <w:rFonts w:hint="eastAsia" w:ascii="黑体" w:hAnsi="Times New Roman" w:eastAsia="黑体" w:cs="Times New Roman"/>
          <w:b w:val="0"/>
          <w:i w:val="0"/>
          <w:sz w:val="21"/>
          <w:lang w:val="en-US" w:eastAsia="zh-CN" w:bidi="ar-SA"/>
        </w:rPr>
        <w:t>6.3.1　</w:t>
      </w:r>
      <w:r>
        <w:rPr>
          <w:rFonts w:ascii="Times New Roman"/>
        </w:rPr>
        <w:t>应</w:t>
      </w:r>
      <w:r>
        <w:rPr>
          <w:rFonts w:hint="default" w:ascii="Times New Roman"/>
        </w:rPr>
        <w:t>建立</w:t>
      </w:r>
      <w:r>
        <w:rPr>
          <w:rFonts w:ascii="Times New Roman"/>
        </w:rPr>
        <w:t>垛位与喷枪对应</w:t>
      </w:r>
      <w:r>
        <w:rPr>
          <w:rFonts w:hint="default" w:ascii="Times New Roman"/>
        </w:rPr>
        <w:t>机制，保障喷淋的准确性。</w:t>
      </w:r>
    </w:p>
    <w:p w14:paraId="1ACEC8C7">
      <w:pPr>
        <w:pStyle w:val="166"/>
        <w:numPr>
          <w:ilvl w:val="3"/>
          <w:numId w:val="0"/>
        </w:numPr>
        <w:rPr>
          <w:rFonts w:ascii="Times New Roman"/>
        </w:rPr>
      </w:pPr>
      <w:r>
        <w:rPr>
          <w:rFonts w:hint="eastAsia" w:ascii="黑体" w:hAnsi="Times New Roman" w:eastAsia="黑体" w:cs="Times New Roman"/>
          <w:b w:val="0"/>
          <w:i w:val="0"/>
          <w:sz w:val="21"/>
          <w:lang w:val="en-US" w:eastAsia="zh-CN" w:bidi="ar-SA"/>
        </w:rPr>
        <w:t>6.3.2　</w:t>
      </w:r>
      <w:r>
        <w:rPr>
          <w:rFonts w:ascii="Times New Roman"/>
        </w:rPr>
        <w:t>应支持PLC</w:t>
      </w:r>
      <w:r>
        <w:rPr>
          <w:rFonts w:hint="default" w:ascii="Times New Roman"/>
        </w:rPr>
        <w:t>控制</w:t>
      </w:r>
      <w:r>
        <w:rPr>
          <w:rFonts w:ascii="Times New Roman"/>
        </w:rPr>
        <w:t>方式</w:t>
      </w:r>
      <w:r>
        <w:rPr>
          <w:rFonts w:hint="default" w:ascii="Times New Roman"/>
        </w:rPr>
        <w:t>，同时满足</w:t>
      </w:r>
      <w:r>
        <w:rPr>
          <w:rFonts w:ascii="Times New Roman"/>
        </w:rPr>
        <w:t>自动</w:t>
      </w:r>
      <w:r>
        <w:rPr>
          <w:rFonts w:hint="default" w:ascii="Times New Roman"/>
        </w:rPr>
        <w:t>/</w:t>
      </w:r>
      <w:r>
        <w:rPr>
          <w:rFonts w:ascii="Times New Roman"/>
        </w:rPr>
        <w:t>手动</w:t>
      </w:r>
      <w:r>
        <w:rPr>
          <w:rFonts w:hint="default" w:ascii="Times New Roman"/>
        </w:rPr>
        <w:t>模式的切换。</w:t>
      </w:r>
    </w:p>
    <w:p w14:paraId="09F946E0">
      <w:pPr>
        <w:pStyle w:val="166"/>
        <w:numPr>
          <w:ilvl w:val="3"/>
          <w:numId w:val="0"/>
        </w:numPr>
        <w:rPr>
          <w:rFonts w:ascii="Times New Roman"/>
        </w:rPr>
      </w:pPr>
      <w:r>
        <w:rPr>
          <w:rFonts w:hint="eastAsia" w:ascii="黑体" w:hAnsi="Times New Roman" w:eastAsia="黑体" w:cs="Times New Roman"/>
          <w:b w:val="0"/>
          <w:i w:val="0"/>
          <w:sz w:val="21"/>
          <w:lang w:val="en-US" w:eastAsia="zh-CN" w:bidi="ar-SA"/>
        </w:rPr>
        <w:t>6.3.3　</w:t>
      </w:r>
      <w:r>
        <w:rPr>
          <w:rFonts w:ascii="Times New Roman"/>
        </w:rPr>
        <w:t>支持单一决策</w:t>
      </w:r>
      <w:r>
        <w:rPr>
          <w:rFonts w:hint="default" w:ascii="Times New Roman"/>
        </w:rPr>
        <w:t>与</w:t>
      </w:r>
      <w:r>
        <w:rPr>
          <w:rFonts w:ascii="Times New Roman"/>
        </w:rPr>
        <w:t>多决策协同喷淋控制方式。</w:t>
      </w:r>
    </w:p>
    <w:p w14:paraId="3B20A4EA">
      <w:pPr>
        <w:pStyle w:val="166"/>
        <w:numPr>
          <w:ilvl w:val="3"/>
          <w:numId w:val="0"/>
        </w:numPr>
        <w:rPr>
          <w:rFonts w:ascii="Times New Roman"/>
        </w:rPr>
      </w:pPr>
      <w:r>
        <w:rPr>
          <w:rFonts w:hint="eastAsia" w:ascii="黑体" w:hAnsi="Times New Roman" w:eastAsia="黑体" w:cs="Times New Roman"/>
          <w:b w:val="0"/>
          <w:i w:val="0"/>
          <w:sz w:val="21"/>
          <w:lang w:val="en-US" w:eastAsia="zh-CN" w:bidi="ar-SA"/>
        </w:rPr>
        <w:t>6.3.4　</w:t>
      </w:r>
      <w:r>
        <w:rPr>
          <w:rFonts w:ascii="Times New Roman"/>
        </w:rPr>
        <w:t>应支持针特定喷枪、特定</w:t>
      </w:r>
      <w:r>
        <w:rPr>
          <w:rFonts w:hint="default" w:ascii="Times New Roman"/>
        </w:rPr>
        <w:t>区域的</w:t>
      </w:r>
      <w:r>
        <w:rPr>
          <w:rFonts w:ascii="Times New Roman"/>
        </w:rPr>
        <w:t>喷淋控制</w:t>
      </w:r>
    </w:p>
    <w:p w14:paraId="6E637EEB">
      <w:pPr>
        <w:pStyle w:val="166"/>
        <w:numPr>
          <w:ilvl w:val="3"/>
          <w:numId w:val="0"/>
        </w:numPr>
        <w:rPr>
          <w:rFonts w:ascii="Times New Roman"/>
        </w:rPr>
      </w:pPr>
      <w:r>
        <w:rPr>
          <w:rFonts w:hint="eastAsia" w:ascii="黑体" w:hAnsi="Times New Roman" w:eastAsia="黑体" w:cs="Times New Roman"/>
          <w:b w:val="0"/>
          <w:i w:val="0"/>
          <w:sz w:val="21"/>
          <w:lang w:val="en-US" w:eastAsia="zh-CN" w:bidi="ar-SA"/>
        </w:rPr>
        <w:t>6.3.5　</w:t>
      </w:r>
      <w:r>
        <w:rPr>
          <w:rFonts w:hint="default" w:ascii="Times New Roman"/>
        </w:rPr>
        <w:t>系统响应时长不应大于</w:t>
      </w:r>
      <w:r>
        <w:rPr>
          <w:rFonts w:ascii="Times New Roman"/>
        </w:rPr>
        <w:t>10</w:t>
      </w:r>
      <w:r>
        <w:rPr>
          <w:rFonts w:hint="eastAsia" w:ascii="Times New Roman"/>
          <w:lang w:val="en-US" w:eastAsia="zh-CN"/>
        </w:rPr>
        <w:t xml:space="preserve"> </w:t>
      </w:r>
      <w:r>
        <w:rPr>
          <w:rFonts w:ascii="Times New Roman"/>
        </w:rPr>
        <w:t>s。</w:t>
      </w:r>
    </w:p>
    <w:p w14:paraId="245C54C1">
      <w:pPr>
        <w:pStyle w:val="106"/>
        <w:numPr>
          <w:ilvl w:val="2"/>
          <w:numId w:val="0"/>
        </w:numPr>
        <w:spacing w:before="120" w:after="120"/>
        <w:outlineLvl w:val="9"/>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6.4　</w:t>
      </w:r>
      <w:r>
        <w:rPr>
          <w:rFonts w:hint="eastAsia"/>
          <w:lang w:val="en-US" w:eastAsia="zh-CN"/>
        </w:rPr>
        <w:t>数据传输</w:t>
      </w:r>
    </w:p>
    <w:p w14:paraId="5CAA0838">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6.4.1　</w:t>
      </w:r>
      <w:r>
        <w:rPr>
          <w:rFonts w:hint="eastAsia" w:ascii="Times New Roman"/>
          <w:lang w:val="en-US" w:eastAsia="zh-CN"/>
        </w:rPr>
        <w:t>数据传输安全要求应满足GB/T 37025的相有关规定</w:t>
      </w:r>
      <w:r>
        <w:rPr>
          <w:rFonts w:hint="default" w:ascii="Times New Roman"/>
        </w:rPr>
        <w:t>。</w:t>
      </w:r>
    </w:p>
    <w:p w14:paraId="68694AC4">
      <w:pPr>
        <w:pStyle w:val="166"/>
        <w:numPr>
          <w:ilvl w:val="3"/>
          <w:numId w:val="0"/>
        </w:numPr>
        <w:outlineLvl w:val="9"/>
        <w:rPr>
          <w:rFonts w:hint="default" w:ascii="Times New Roman"/>
        </w:rPr>
      </w:pPr>
      <w:r>
        <w:rPr>
          <w:rFonts w:hint="eastAsia" w:ascii="黑体" w:hAnsi="Times New Roman" w:eastAsia="黑体" w:cs="Times New Roman"/>
          <w:b w:val="0"/>
          <w:i w:val="0"/>
          <w:sz w:val="21"/>
          <w:lang w:val="en-US" w:eastAsia="zh-CN" w:bidi="ar-SA"/>
        </w:rPr>
        <w:t>6.4.2　</w:t>
      </w:r>
      <w:r>
        <w:rPr>
          <w:rFonts w:hint="eastAsia" w:ascii="Times New Roman"/>
          <w:lang w:val="en-US" w:eastAsia="zh-CN"/>
        </w:rPr>
        <w:t>应支持有线网络传输或无线网络传输，传输速率应不低于40 Mbit/s</w:t>
      </w:r>
      <w:r>
        <w:rPr>
          <w:rFonts w:hint="default" w:ascii="Times New Roman"/>
        </w:rPr>
        <w:t>。</w:t>
      </w:r>
    </w:p>
    <w:p w14:paraId="42419A70">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6.4.</w:t>
      </w:r>
      <w:r>
        <w:rPr>
          <w:rFonts w:hint="eastAsia" w:ascii="黑体" w:eastAsia="黑体" w:cs="Times New Roman"/>
          <w:b w:val="0"/>
          <w:i w:val="0"/>
          <w:sz w:val="21"/>
          <w:lang w:val="en-US" w:eastAsia="zh-CN" w:bidi="ar-SA"/>
        </w:rPr>
        <w:t>3</w:t>
      </w:r>
      <w:r>
        <w:rPr>
          <w:rFonts w:hint="eastAsia" w:ascii="黑体" w:hAnsi="Times New Roman" w:eastAsia="黑体" w:cs="Times New Roman"/>
          <w:b w:val="0"/>
          <w:i w:val="0"/>
          <w:sz w:val="21"/>
          <w:lang w:val="en-US" w:eastAsia="zh-CN" w:bidi="ar-SA"/>
        </w:rPr>
        <w:t>　</w:t>
      </w:r>
      <w:r>
        <w:rPr>
          <w:rFonts w:hint="eastAsia" w:ascii="Times New Roman"/>
          <w:lang w:val="en-US" w:eastAsia="zh-CN"/>
        </w:rPr>
        <w:t>数据传输通讯宜采用TCP/IP、UDP、数据库、网页服务（WebService）等交互方式</w:t>
      </w:r>
      <w:r>
        <w:rPr>
          <w:rFonts w:hint="default" w:ascii="Times New Roman"/>
        </w:rPr>
        <w:t>。</w:t>
      </w:r>
    </w:p>
    <w:p w14:paraId="5A46247A">
      <w:pPr>
        <w:pStyle w:val="166"/>
        <w:numPr>
          <w:ilvl w:val="3"/>
          <w:numId w:val="0"/>
        </w:numPr>
        <w:outlineLvl w:val="9"/>
        <w:rPr>
          <w:rFonts w:hint="default" w:ascii="Times New Roman"/>
        </w:rPr>
      </w:pPr>
      <w:r>
        <w:rPr>
          <w:rFonts w:hint="eastAsia" w:ascii="黑体" w:hAnsi="Times New Roman" w:eastAsia="黑体" w:cs="Times New Roman"/>
          <w:b w:val="0"/>
          <w:i w:val="0"/>
          <w:sz w:val="21"/>
          <w:lang w:val="en-US" w:eastAsia="zh-CN" w:bidi="ar-SA"/>
        </w:rPr>
        <w:t>6.4.</w:t>
      </w:r>
      <w:r>
        <w:rPr>
          <w:rFonts w:hint="eastAsia" w:ascii="黑体" w:eastAsia="黑体" w:cs="Times New Roman"/>
          <w:b w:val="0"/>
          <w:i w:val="0"/>
          <w:sz w:val="21"/>
          <w:lang w:val="en-US" w:eastAsia="zh-CN" w:bidi="ar-SA"/>
        </w:rPr>
        <w:t>4</w:t>
      </w:r>
      <w:r>
        <w:rPr>
          <w:rFonts w:hint="eastAsia" w:ascii="黑体" w:hAnsi="Times New Roman" w:eastAsia="黑体" w:cs="Times New Roman"/>
          <w:b w:val="0"/>
          <w:i w:val="0"/>
          <w:sz w:val="21"/>
          <w:lang w:val="en-US" w:eastAsia="zh-CN" w:bidi="ar-SA"/>
        </w:rPr>
        <w:t>　</w:t>
      </w:r>
      <w:r>
        <w:rPr>
          <w:rFonts w:hint="eastAsia" w:ascii="Times New Roman"/>
        </w:rPr>
        <w:t>数据传输</w:t>
      </w:r>
      <w:r>
        <w:rPr>
          <w:rFonts w:hint="eastAsia" w:ascii="Times New Roman"/>
          <w:lang w:val="en-US" w:eastAsia="zh-CN"/>
        </w:rPr>
        <w:t>接口宜用XML、JSON等数据格式</w:t>
      </w:r>
      <w:r>
        <w:rPr>
          <w:rFonts w:hint="default" w:ascii="Times New Roman"/>
        </w:rPr>
        <w:t>。</w:t>
      </w:r>
    </w:p>
    <w:p w14:paraId="34CAD499">
      <w:pPr>
        <w:pStyle w:val="106"/>
        <w:numPr>
          <w:ilvl w:val="2"/>
          <w:numId w:val="0"/>
        </w:numPr>
        <w:spacing w:before="120" w:after="120"/>
        <w:outlineLvl w:val="9"/>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6.5　</w:t>
      </w:r>
      <w:r>
        <w:rPr>
          <w:rFonts w:hint="eastAsia"/>
          <w:lang w:val="en-US" w:eastAsia="zh-CN"/>
        </w:rPr>
        <w:t>控制指令</w:t>
      </w:r>
    </w:p>
    <w:p w14:paraId="6941BA66">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6.5.1　</w:t>
      </w:r>
      <w:r>
        <w:rPr>
          <w:rFonts w:hint="eastAsia" w:ascii="Times New Roman"/>
        </w:rPr>
        <w:t>指令生成后</w:t>
      </w:r>
      <w:r>
        <w:rPr>
          <w:rFonts w:hint="eastAsia" w:ascii="Times New Roman"/>
          <w:lang w:val="en-US" w:eastAsia="zh-CN"/>
        </w:rPr>
        <w:t>应</w:t>
      </w:r>
      <w:r>
        <w:rPr>
          <w:rFonts w:hint="eastAsia" w:ascii="Times New Roman"/>
        </w:rPr>
        <w:t>通过决策模型与平台逻辑双重校验，确保符合当前工况需求</w:t>
      </w:r>
      <w:r>
        <w:rPr>
          <w:rFonts w:hint="default" w:ascii="Times New Roman"/>
        </w:rPr>
        <w:t>。</w:t>
      </w:r>
    </w:p>
    <w:p w14:paraId="1183DC2E">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6.5.2　</w:t>
      </w:r>
      <w:r>
        <w:rPr>
          <w:rFonts w:hint="eastAsia" w:ascii="宋体" w:hAnsi="宋体" w:eastAsia="宋体" w:cs="宋体"/>
          <w:lang w:val="en-US" w:eastAsia="zh-CN"/>
        </w:rPr>
        <w:t>应</w:t>
      </w:r>
      <w:r>
        <w:rPr>
          <w:rFonts w:hint="eastAsia" w:ascii="Times New Roman"/>
        </w:rPr>
        <w:t>包含四要素：设备启停状态、喷淋强度、持续时长、目标设备/区域编码</w:t>
      </w:r>
      <w:r>
        <w:rPr>
          <w:rFonts w:hint="default" w:ascii="Times New Roman"/>
        </w:rPr>
        <w:t>。</w:t>
      </w:r>
    </w:p>
    <w:p w14:paraId="0529AA9B">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6.5.3　</w:t>
      </w:r>
      <w:r>
        <w:rPr>
          <w:rFonts w:hint="eastAsia" w:ascii="宋体" w:hAnsi="宋体" w:eastAsia="宋体" w:cs="宋体"/>
          <w:lang w:val="en-US" w:eastAsia="zh-CN"/>
        </w:rPr>
        <w:t>应</w:t>
      </w:r>
      <w:r>
        <w:rPr>
          <w:rFonts w:hint="eastAsia" w:hAnsi="宋体" w:cs="宋体"/>
        </w:rPr>
        <w:t>携</w:t>
      </w:r>
      <w:r>
        <w:rPr>
          <w:rFonts w:hint="eastAsia" w:ascii="Times New Roman"/>
        </w:rPr>
        <w:t>带UTC时间戳，与系统时钟误差≤1秒</w:t>
      </w:r>
      <w:r>
        <w:rPr>
          <w:rFonts w:ascii="Times New Roman"/>
        </w:rPr>
        <w:t>。</w:t>
      </w:r>
    </w:p>
    <w:p w14:paraId="412F7DD0">
      <w:pPr>
        <w:pStyle w:val="166"/>
        <w:numPr>
          <w:ilvl w:val="3"/>
          <w:numId w:val="0"/>
        </w:numPr>
        <w:outlineLvl w:val="9"/>
        <w:rPr>
          <w:rFonts w:hint="eastAsia" w:ascii="Times New Roman" w:eastAsia="宋体"/>
          <w:lang w:eastAsia="zh-CN"/>
        </w:rPr>
      </w:pPr>
      <w:r>
        <w:rPr>
          <w:rFonts w:hint="eastAsia" w:ascii="黑体" w:hAnsi="Times New Roman" w:eastAsia="黑体" w:cs="Times New Roman"/>
          <w:b w:val="0"/>
          <w:i w:val="0"/>
          <w:sz w:val="21"/>
          <w:lang w:val="en-US" w:eastAsia="zh-CN" w:bidi="ar-SA"/>
        </w:rPr>
        <w:t>6.5.4　</w:t>
      </w:r>
      <w:r>
        <w:rPr>
          <w:rFonts w:hint="eastAsia" w:ascii="Times New Roman"/>
        </w:rPr>
        <w:t>采用工业标准通信协议，禁止使用私有协议</w:t>
      </w:r>
      <w:r>
        <w:rPr>
          <w:rFonts w:hint="eastAsia" w:ascii="Times New Roman"/>
          <w:lang w:eastAsia="zh-CN"/>
        </w:rPr>
        <w:t>。</w:t>
      </w:r>
    </w:p>
    <w:p w14:paraId="34BA36DB">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6.5.5　</w:t>
      </w:r>
      <w:r>
        <w:rPr>
          <w:rFonts w:hint="default" w:ascii="Times New Roman"/>
        </w:rPr>
        <w:t>建立主备双传输通道，主通道故障时10秒内自动切换</w:t>
      </w:r>
      <w:r>
        <w:rPr>
          <w:rFonts w:ascii="Times New Roman"/>
        </w:rPr>
        <w:t>。</w:t>
      </w:r>
    </w:p>
    <w:p w14:paraId="4DED9506">
      <w:pPr>
        <w:pStyle w:val="166"/>
        <w:numPr>
          <w:ilvl w:val="3"/>
          <w:numId w:val="0"/>
        </w:numPr>
        <w:outlineLvl w:val="9"/>
        <w:rPr>
          <w:rFonts w:hint="eastAsia" w:ascii="Times New Roman"/>
          <w:lang w:eastAsia="zh-CN"/>
        </w:rPr>
      </w:pPr>
      <w:r>
        <w:rPr>
          <w:rFonts w:hint="eastAsia" w:ascii="黑体" w:hAnsi="Times New Roman" w:eastAsia="黑体" w:cs="Times New Roman"/>
          <w:b w:val="0"/>
          <w:i w:val="0"/>
          <w:sz w:val="21"/>
          <w:lang w:val="en-US" w:eastAsia="zh-CN" w:bidi="ar-SA"/>
        </w:rPr>
        <w:t>6.5.</w:t>
      </w:r>
      <w:r>
        <w:rPr>
          <w:rFonts w:hint="eastAsia" w:ascii="黑体" w:eastAsia="黑体" w:cs="Times New Roman"/>
          <w:b w:val="0"/>
          <w:i w:val="0"/>
          <w:sz w:val="21"/>
          <w:lang w:val="en-US" w:eastAsia="zh-CN" w:bidi="ar-SA"/>
        </w:rPr>
        <w:t>6</w:t>
      </w:r>
      <w:r>
        <w:rPr>
          <w:rFonts w:hint="eastAsia" w:ascii="黑体" w:hAnsi="Times New Roman" w:eastAsia="黑体" w:cs="Times New Roman"/>
          <w:b w:val="0"/>
          <w:i w:val="0"/>
          <w:sz w:val="21"/>
          <w:lang w:val="en-US" w:eastAsia="zh-CN" w:bidi="ar-SA"/>
        </w:rPr>
        <w:t>　</w:t>
      </w:r>
      <w:r>
        <w:rPr>
          <w:rFonts w:hint="eastAsia" w:ascii="Times New Roman"/>
        </w:rPr>
        <w:t>指令抵达PLC至设备启动动作的全链路延迟≤2秒</w:t>
      </w:r>
      <w:r>
        <w:rPr>
          <w:rFonts w:hint="eastAsia" w:ascii="Times New Roman"/>
          <w:lang w:eastAsia="zh-CN"/>
        </w:rPr>
        <w:t>。</w:t>
      </w:r>
    </w:p>
    <w:p w14:paraId="46FA750C">
      <w:pPr>
        <w:pStyle w:val="166"/>
        <w:numPr>
          <w:ilvl w:val="3"/>
          <w:numId w:val="0"/>
        </w:numPr>
        <w:outlineLvl w:val="9"/>
        <w:rPr>
          <w:rFonts w:hint="eastAsia" w:ascii="Times New Roman"/>
          <w:lang w:eastAsia="zh-CN"/>
        </w:rPr>
      </w:pPr>
      <w:r>
        <w:rPr>
          <w:rFonts w:hint="eastAsia" w:ascii="黑体" w:hAnsi="Times New Roman" w:eastAsia="黑体" w:cs="Times New Roman"/>
          <w:b w:val="0"/>
          <w:i w:val="0"/>
          <w:sz w:val="21"/>
          <w:lang w:val="en-US" w:eastAsia="zh-CN" w:bidi="ar-SA"/>
        </w:rPr>
        <w:t>6.5.</w:t>
      </w:r>
      <w:r>
        <w:rPr>
          <w:rFonts w:hint="eastAsia" w:ascii="黑体" w:eastAsia="黑体" w:cs="Times New Roman"/>
          <w:b w:val="0"/>
          <w:i w:val="0"/>
          <w:sz w:val="21"/>
          <w:lang w:val="en-US" w:eastAsia="zh-CN" w:bidi="ar-SA"/>
        </w:rPr>
        <w:t>7</w:t>
      </w:r>
      <w:r>
        <w:rPr>
          <w:rFonts w:hint="eastAsia" w:ascii="黑体" w:hAnsi="Times New Roman" w:eastAsia="黑体" w:cs="Times New Roman"/>
          <w:b w:val="0"/>
          <w:i w:val="0"/>
          <w:sz w:val="21"/>
          <w:lang w:val="en-US" w:eastAsia="zh-CN" w:bidi="ar-SA"/>
        </w:rPr>
        <w:t>　</w:t>
      </w:r>
      <w:r>
        <w:rPr>
          <w:rFonts w:hint="eastAsia" w:ascii="Times New Roman"/>
        </w:rPr>
        <w:t>PLC须在指令执行后5秒内，向决策层返回包含执行结果码、实际启停时间、设备状态的反馈报文</w:t>
      </w:r>
      <w:r>
        <w:rPr>
          <w:rFonts w:hint="eastAsia" w:ascii="Times New Roman"/>
          <w:lang w:eastAsia="zh-CN"/>
        </w:rPr>
        <w:t>。</w:t>
      </w:r>
    </w:p>
    <w:p w14:paraId="65BDFB99">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6.5.</w:t>
      </w:r>
      <w:r>
        <w:rPr>
          <w:rFonts w:hint="eastAsia" w:ascii="黑体" w:eastAsia="黑体" w:cs="Times New Roman"/>
          <w:b w:val="0"/>
          <w:i w:val="0"/>
          <w:sz w:val="21"/>
          <w:lang w:val="en-US" w:eastAsia="zh-CN" w:bidi="ar-SA"/>
        </w:rPr>
        <w:t>8</w:t>
      </w:r>
      <w:r>
        <w:rPr>
          <w:rFonts w:hint="eastAsia" w:ascii="黑体" w:hAnsi="Times New Roman" w:eastAsia="黑体" w:cs="Times New Roman"/>
          <w:b w:val="0"/>
          <w:i w:val="0"/>
          <w:sz w:val="21"/>
          <w:lang w:val="en-US" w:eastAsia="zh-CN" w:bidi="ar-SA"/>
        </w:rPr>
        <w:t>　</w:t>
      </w:r>
      <w:r>
        <w:rPr>
          <w:rFonts w:hint="default" w:ascii="Times New Roman"/>
        </w:rPr>
        <w:t>若执行失败（如设备离线、参数异常），系统自动重发指令≤3次，仍失败则触发三级告警</w:t>
      </w:r>
      <w:r>
        <w:rPr>
          <w:rFonts w:ascii="Times New Roman"/>
        </w:rPr>
        <w:t>。</w:t>
      </w:r>
    </w:p>
    <w:p w14:paraId="6262594F">
      <w:pPr>
        <w:pStyle w:val="106"/>
        <w:numPr>
          <w:ilvl w:val="2"/>
          <w:numId w:val="0"/>
        </w:numPr>
        <w:spacing w:before="120" w:after="120"/>
        <w:outlineLvl w:val="9"/>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6.6　</w:t>
      </w:r>
      <w:r>
        <w:rPr>
          <w:rFonts w:hint="eastAsia"/>
          <w:lang w:val="en-US" w:eastAsia="zh-CN"/>
        </w:rPr>
        <w:t>数据接口</w:t>
      </w:r>
    </w:p>
    <w:p w14:paraId="22FB3237">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6.6.1　</w:t>
      </w:r>
      <w:r>
        <w:rPr>
          <w:rFonts w:ascii="Times New Roman"/>
        </w:rPr>
        <w:t>应</w:t>
      </w:r>
      <w:r>
        <w:rPr>
          <w:rFonts w:hint="eastAsia" w:ascii="Times New Roman"/>
          <w:lang w:val="en-US" w:eastAsia="zh-CN"/>
        </w:rPr>
        <w:t>支持系统数据与码头数据进行双向数据传输</w:t>
      </w:r>
      <w:r>
        <w:rPr>
          <w:rFonts w:hint="default" w:ascii="Times New Roman"/>
        </w:rPr>
        <w:t>。</w:t>
      </w:r>
    </w:p>
    <w:p w14:paraId="43408F0A">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6.6.2　</w:t>
      </w:r>
      <w:r>
        <w:rPr>
          <w:rFonts w:hint="eastAsia" w:ascii="宋体" w:hAnsi="宋体" w:eastAsia="宋体" w:cs="宋体"/>
          <w:lang w:val="en-US" w:eastAsia="zh-CN"/>
        </w:rPr>
        <w:t>具备提供数据丢失后恢复重发机制</w:t>
      </w:r>
      <w:r>
        <w:rPr>
          <w:rFonts w:hint="eastAsia" w:ascii="宋体" w:hAnsi="宋体" w:cs="宋体"/>
        </w:rPr>
        <w:t>。</w:t>
      </w:r>
    </w:p>
    <w:p w14:paraId="4724E722">
      <w:pPr>
        <w:pStyle w:val="166"/>
        <w:numPr>
          <w:ilvl w:val="3"/>
          <w:numId w:val="0"/>
        </w:numPr>
        <w:outlineLvl w:val="9"/>
        <w:rPr>
          <w:rFonts w:ascii="Times New Roman"/>
        </w:rPr>
      </w:pPr>
      <w:r>
        <w:rPr>
          <w:rFonts w:hint="eastAsia" w:ascii="黑体" w:hAnsi="Times New Roman" w:eastAsia="黑体" w:cs="Times New Roman"/>
          <w:b w:val="0"/>
          <w:i w:val="0"/>
          <w:sz w:val="21"/>
          <w:lang w:val="en-US" w:eastAsia="zh-CN" w:bidi="ar-SA"/>
        </w:rPr>
        <w:t>6.6.3　</w:t>
      </w:r>
      <w:r>
        <w:rPr>
          <w:rFonts w:hint="eastAsia" w:ascii="宋体" w:hAnsi="宋体" w:eastAsia="宋体" w:cs="宋体"/>
          <w:lang w:val="en-US" w:eastAsia="zh-CN"/>
        </w:rPr>
        <w:t>可采用</w:t>
      </w:r>
      <w:r>
        <w:rPr>
          <w:rFonts w:hint="eastAsia" w:ascii="Times New Roman"/>
          <w:lang w:val="en-US" w:eastAsia="zh-CN"/>
        </w:rPr>
        <w:t>TCP/IP、UDP、数据库、网页服务（WebService）等数据对接方式</w:t>
      </w:r>
      <w:r>
        <w:rPr>
          <w:rFonts w:ascii="Times New Roman"/>
        </w:rPr>
        <w:t>。</w:t>
      </w:r>
    </w:p>
    <w:p w14:paraId="4A32884D">
      <w:pPr>
        <w:pStyle w:val="105"/>
        <w:numPr>
          <w:ilvl w:val="1"/>
          <w:numId w:val="0"/>
        </w:numPr>
        <w:spacing w:before="240" w:after="240"/>
      </w:pPr>
      <w:bookmarkStart w:id="65" w:name="_Toc4972"/>
      <w:r>
        <w:rPr>
          <w:rFonts w:hint="eastAsia" w:cs="Times New Roman"/>
          <w:b w:val="0"/>
          <w:i w:val="0"/>
          <w:sz w:val="21"/>
          <w:lang w:val="en-US" w:eastAsia="zh-CN" w:bidi="ar-SA"/>
        </w:rPr>
        <w:t>7</w:t>
      </w:r>
      <w:r>
        <w:rPr>
          <w:rFonts w:hint="eastAsia" w:ascii="黑体" w:hAnsi="Times New Roman" w:eastAsia="黑体" w:cs="Times New Roman"/>
          <w:b w:val="0"/>
          <w:i w:val="0"/>
          <w:sz w:val="21"/>
          <w:lang w:val="en-US" w:eastAsia="zh-CN" w:bidi="ar-SA"/>
        </w:rPr>
        <w:t>　</w:t>
      </w:r>
      <w:r>
        <w:rPr>
          <w:rFonts w:hint="eastAsia"/>
        </w:rPr>
        <w:t>系统智能特性要求</w:t>
      </w:r>
      <w:bookmarkEnd w:id="65"/>
    </w:p>
    <w:p w14:paraId="59A76ECE">
      <w:pPr>
        <w:pStyle w:val="106"/>
        <w:numPr>
          <w:ilvl w:val="2"/>
          <w:numId w:val="0"/>
        </w:numPr>
        <w:spacing w:before="120" w:after="120"/>
        <w:outlineLvl w:val="9"/>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.1　</w:t>
      </w:r>
      <w:r>
        <w:rPr>
          <w:rFonts w:hint="eastAsia"/>
        </w:rPr>
        <w:t>数据驱动的自动化闭环控制</w:t>
      </w:r>
    </w:p>
    <w:p w14:paraId="125FBB34">
      <w:pPr>
        <w:pStyle w:val="166"/>
        <w:numPr>
          <w:ilvl w:val="3"/>
          <w:numId w:val="0"/>
        </w:numPr>
        <w:ind w:firstLine="420" w:firstLineChars="200"/>
        <w:rPr>
          <w:rFonts w:hint="eastAsia" w:ascii="宋体" w:hAnsi="宋体" w:eastAsia="宋体" w:cs="宋体"/>
          <w:b w:val="0"/>
          <w:i w:val="0"/>
          <w:sz w:val="21"/>
          <w:lang w:val="en-US" w:eastAsia="zh-CN" w:bidi="ar-SA"/>
        </w:rPr>
      </w:pPr>
      <w:r>
        <w:rPr>
          <w:rFonts w:hint="eastAsia" w:hAnsi="宋体" w:cs="宋体"/>
        </w:rPr>
        <w:t>系统应能自动完成“环境与状态感知（数据采集）-&gt;智能分析决策（模型运算）-&gt;精准执行控制（喷淋设备动作）-&gt;效果反馈评估（持续监测）”的闭环流程，大幅减少人工干预。</w:t>
      </w:r>
    </w:p>
    <w:p w14:paraId="4CC69CD9">
      <w:pPr>
        <w:pStyle w:val="106"/>
        <w:numPr>
          <w:ilvl w:val="2"/>
          <w:numId w:val="0"/>
        </w:numPr>
        <w:spacing w:before="120" w:after="120"/>
        <w:outlineLvl w:val="9"/>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hint="eastAsia"/>
        </w:rPr>
        <w:t>预测性决策</w:t>
      </w:r>
    </w:p>
    <w:p w14:paraId="3376B2A7">
      <w:pPr>
        <w:pStyle w:val="166"/>
        <w:numPr>
          <w:ilvl w:val="3"/>
          <w:numId w:val="0"/>
        </w:numPr>
        <w:outlineLvl w:val="9"/>
        <w:rPr>
          <w:rFonts w:hint="default" w:ascii="黑体" w:eastAsia="黑体"/>
        </w:rPr>
      </w:pPr>
      <w:r>
        <w:rPr>
          <w:rFonts w:hint="eastAsia" w:ascii="黑体" w:eastAsia="黑体" w:cs="Times New Roman"/>
          <w:b w:val="0"/>
          <w:i w:val="0"/>
          <w:sz w:val="21"/>
          <w:lang w:val="en-US" w:eastAsia="zh-CN" w:bidi="ar-SA"/>
        </w:rPr>
        <w:t>7.2</w:t>
      </w:r>
      <w:r>
        <w:rPr>
          <w:rFonts w:hint="default" w:ascii="黑体" w:hAnsi="Times New Roman" w:eastAsia="黑体" w:cs="Times New Roman"/>
          <w:b w:val="0"/>
          <w:i w:val="0"/>
          <w:sz w:val="21"/>
          <w:lang w:val="en-US" w:eastAsia="zh-CN" w:bidi="ar-SA"/>
        </w:rPr>
        <w:t>.1　</w:t>
      </w:r>
      <w:r>
        <w:rPr>
          <w:rFonts w:hint="eastAsia" w:hAnsi="宋体" w:cs="宋体"/>
        </w:rPr>
        <w:t>含水率预测：智能决策模型应能基于当前气象条件、货种特性、初始含水率、历史衰减曲线等，预测未来一段时间内堆垛表面含水率的变化趋势。当预测值低于设定阈值时触发预警或喷淋</w:t>
      </w:r>
      <w:r>
        <w:rPr>
          <w:rFonts w:hint="eastAsia" w:ascii="宋体" w:hAnsi="宋体" w:cs="宋体"/>
        </w:rPr>
        <w:t>。</w:t>
      </w:r>
    </w:p>
    <w:p w14:paraId="0E99E82C">
      <w:pPr>
        <w:pStyle w:val="166"/>
        <w:numPr>
          <w:ilvl w:val="3"/>
          <w:numId w:val="0"/>
        </w:numPr>
        <w:outlineLvl w:val="9"/>
        <w:rPr>
          <w:rFonts w:hint="default" w:ascii="Times New Roman"/>
        </w:rPr>
      </w:pPr>
      <w:r>
        <w:rPr>
          <w:rFonts w:hint="eastAsia" w:ascii="黑体" w:eastAsia="黑体" w:cs="Times New Roman"/>
          <w:b w:val="0"/>
          <w:i w:val="0"/>
          <w:sz w:val="21"/>
          <w:lang w:val="en-US" w:eastAsia="zh-CN" w:bidi="ar-SA"/>
        </w:rPr>
        <w:t>7.2</w:t>
      </w:r>
      <w:r>
        <w:rPr>
          <w:rFonts w:hint="default" w:ascii="黑体" w:hAnsi="Times New Roman" w:eastAsia="黑体" w:cs="Times New Roman"/>
          <w:b w:val="0"/>
          <w:i w:val="0"/>
          <w:sz w:val="21"/>
          <w:lang w:val="en-US" w:eastAsia="zh-CN" w:bidi="ar-SA"/>
        </w:rPr>
        <w:t>.2</w:t>
      </w:r>
      <w:r>
        <w:rPr>
          <w:rFonts w:hint="default" w:ascii="Times New Roman" w:hAnsi="Times New Roman" w:eastAsia="宋体" w:cs="Times New Roman"/>
          <w:b w:val="0"/>
          <w:i w:val="0"/>
          <w:sz w:val="21"/>
          <w:lang w:val="en-US" w:eastAsia="zh-CN" w:bidi="ar-SA"/>
        </w:rPr>
        <w:t>　</w:t>
      </w:r>
      <w:r>
        <w:rPr>
          <w:rFonts w:hint="default" w:ascii="Times New Roman"/>
        </w:rPr>
        <w:t>起尘趋势预测与溯源：智能决策模型应能基于实时及预测的风速风向、湿度、堆垛状态、作业活动等，预测粉尘起尘风险和高浓度扩散趋势，并辅助定位主要的尘源位置。当预测浓度超过设定阈值或风险等级升高时触发预警或定向喷淋。</w:t>
      </w:r>
    </w:p>
    <w:p w14:paraId="507C3A06">
      <w:pPr>
        <w:pStyle w:val="106"/>
        <w:numPr>
          <w:ilvl w:val="2"/>
          <w:numId w:val="0"/>
        </w:numPr>
        <w:spacing w:before="120" w:after="120"/>
        <w:outlineLvl w:val="9"/>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hint="eastAsia"/>
        </w:rPr>
        <w:t>精准化与优化控制</w:t>
      </w:r>
    </w:p>
    <w:p w14:paraId="21E84A03">
      <w:pPr>
        <w:pStyle w:val="175"/>
        <w:numPr>
          <w:ilvl w:val="-1"/>
          <w:numId w:val="0"/>
        </w:numPr>
        <w:ind w:left="0" w:firstLine="0"/>
      </w:pPr>
      <w:r>
        <w:rPr>
          <w:rFonts w:hint="eastAsia" w:ascii="黑体" w:eastAsia="黑体" w:cs="Times New Roman"/>
          <w:b w:val="0"/>
          <w:i w:val="0"/>
          <w:sz w:val="21"/>
          <w:lang w:val="en-US" w:eastAsia="zh-CN" w:bidi="ar-SA"/>
        </w:rPr>
        <w:t>7.3</w:t>
      </w:r>
      <w:r>
        <w:rPr>
          <w:rFonts w:hint="default" w:ascii="黑体" w:hAnsi="Times New Roman" w:eastAsia="黑体" w:cs="Times New Roman"/>
          <w:b w:val="0"/>
          <w:i w:val="0"/>
          <w:sz w:val="21"/>
          <w:lang w:val="en-US" w:eastAsia="zh-CN" w:bidi="ar-SA"/>
        </w:rPr>
        <w:t>.1　</w:t>
      </w:r>
      <w:r>
        <w:rPr>
          <w:rFonts w:hint="eastAsia"/>
        </w:rPr>
        <w:t>空间精准：支持针对特定垛位、特定区域甚至单支喷枪进行独立控制。</w:t>
      </w:r>
    </w:p>
    <w:p w14:paraId="798F0239">
      <w:pPr>
        <w:pStyle w:val="175"/>
        <w:numPr>
          <w:ilvl w:val="-1"/>
          <w:numId w:val="0"/>
        </w:numPr>
        <w:ind w:left="0" w:firstLine="0"/>
      </w:pPr>
      <w:r>
        <w:rPr>
          <w:rFonts w:hint="eastAsia" w:ascii="黑体" w:eastAsia="黑体" w:cs="Times New Roman"/>
          <w:b w:val="0"/>
          <w:i w:val="0"/>
          <w:sz w:val="21"/>
          <w:lang w:val="en-US" w:eastAsia="zh-CN" w:bidi="ar-SA"/>
        </w:rPr>
        <w:t>7.3</w:t>
      </w:r>
      <w:r>
        <w:rPr>
          <w:rFonts w:hint="default" w:ascii="黑体" w:hAnsi="Times New Roman" w:eastAsia="黑体" w:cs="Times New Roman"/>
          <w:b w:val="0"/>
          <w:i w:val="0"/>
          <w:sz w:val="21"/>
          <w:lang w:val="en-US" w:eastAsia="zh-CN" w:bidi="ar-SA"/>
        </w:rPr>
        <w:t>.</w:t>
      </w:r>
      <w:r>
        <w:rPr>
          <w:rFonts w:hint="eastAsia" w:ascii="黑体" w:eastAsia="黑体" w:cs="Times New Roman"/>
          <w:b w:val="0"/>
          <w:i w:val="0"/>
          <w:sz w:val="21"/>
          <w:lang w:val="en-US" w:eastAsia="zh-CN" w:bidi="ar-SA"/>
        </w:rPr>
        <w:t>2</w:t>
      </w:r>
      <w:r>
        <w:rPr>
          <w:rFonts w:hint="default" w:ascii="黑体" w:hAnsi="Times New Roman" w:eastAsia="黑体" w:cs="Times New Roman"/>
          <w:b w:val="0"/>
          <w:i w:val="0"/>
          <w:sz w:val="21"/>
          <w:lang w:val="en-US" w:eastAsia="zh-CN" w:bidi="ar-SA"/>
        </w:rPr>
        <w:t>　</w:t>
      </w:r>
      <w:r>
        <w:rPr>
          <w:rFonts w:hint="eastAsia"/>
        </w:rPr>
        <w:t>时间精准：在预测到起尘风险或含水率不足时及时启动，在风险消除或达到目标含水率后及时停止，避免无效喷淋和水资源浪费。</w:t>
      </w:r>
    </w:p>
    <w:p w14:paraId="2FF45B62">
      <w:pPr>
        <w:pStyle w:val="175"/>
        <w:numPr>
          <w:ilvl w:val="-1"/>
          <w:numId w:val="0"/>
        </w:numPr>
        <w:ind w:left="0" w:firstLine="0"/>
        <w:rPr>
          <w:rFonts w:hint="eastAsia"/>
        </w:rPr>
      </w:pPr>
      <w:r>
        <w:rPr>
          <w:rFonts w:hint="eastAsia" w:ascii="黑体" w:eastAsia="黑体" w:cs="Times New Roman"/>
          <w:b w:val="0"/>
          <w:i w:val="0"/>
          <w:sz w:val="21"/>
          <w:lang w:val="en-US" w:eastAsia="zh-CN" w:bidi="ar-SA"/>
        </w:rPr>
        <w:t>7.3</w:t>
      </w:r>
      <w:r>
        <w:rPr>
          <w:rFonts w:hint="default" w:ascii="黑体" w:hAnsi="Times New Roman" w:eastAsia="黑体" w:cs="Times New Roman"/>
          <w:b w:val="0"/>
          <w:i w:val="0"/>
          <w:sz w:val="21"/>
          <w:lang w:val="en-US" w:eastAsia="zh-CN" w:bidi="ar-SA"/>
        </w:rPr>
        <w:t>.</w:t>
      </w:r>
      <w:r>
        <w:rPr>
          <w:rFonts w:hint="eastAsia" w:ascii="黑体" w:eastAsia="黑体" w:cs="Times New Roman"/>
          <w:b w:val="0"/>
          <w:i w:val="0"/>
          <w:sz w:val="21"/>
          <w:lang w:val="en-US" w:eastAsia="zh-CN" w:bidi="ar-SA"/>
        </w:rPr>
        <w:t>3</w:t>
      </w:r>
      <w:r>
        <w:rPr>
          <w:rFonts w:hint="default" w:ascii="黑体" w:hAnsi="Times New Roman" w:eastAsia="黑体" w:cs="Times New Roman"/>
          <w:b w:val="0"/>
          <w:i w:val="0"/>
          <w:sz w:val="21"/>
          <w:lang w:val="en-US" w:eastAsia="zh-CN" w:bidi="ar-SA"/>
        </w:rPr>
        <w:t>　</w:t>
      </w:r>
      <w:r>
        <w:rPr>
          <w:rFonts w:hint="eastAsia"/>
        </w:rPr>
        <w:t>强度精准：可根据预测的风险等级、货种需求、气象条件动态调整喷淋强度和时长。</w:t>
      </w:r>
    </w:p>
    <w:p w14:paraId="18D7216F">
      <w:pPr>
        <w:pStyle w:val="106"/>
        <w:numPr>
          <w:ilvl w:val="2"/>
          <w:numId w:val="0"/>
        </w:numPr>
        <w:spacing w:before="120" w:after="120"/>
        <w:outlineLvl w:val="9"/>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4</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hint="eastAsia"/>
        </w:rPr>
        <w:t>多源决策协同</w:t>
      </w:r>
    </w:p>
    <w:p w14:paraId="0AF0E453">
      <w:pPr>
        <w:pStyle w:val="175"/>
        <w:numPr>
          <w:ilvl w:val="-1"/>
          <w:numId w:val="0"/>
        </w:numPr>
        <w:ind w:left="0" w:firstLine="420" w:firstLineChars="200"/>
      </w:pPr>
      <w:r>
        <w:rPr>
          <w:rFonts w:hint="eastAsia"/>
        </w:rPr>
        <w:t>系统应支持含水率判定决策和起尘判定决策模型的协同工作。当两个模型输出结果指向同一区域需要喷淋时，可叠加执行；当指向不同区域或存在冲突时，系统应有优先级仲裁或融合机制。</w:t>
      </w:r>
    </w:p>
    <w:p w14:paraId="7874B26B">
      <w:pPr>
        <w:pStyle w:val="106"/>
        <w:numPr>
          <w:ilvl w:val="2"/>
          <w:numId w:val="0"/>
        </w:numPr>
        <w:spacing w:before="120" w:after="120"/>
        <w:outlineLvl w:val="9"/>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hint="eastAsia"/>
        </w:rPr>
        <w:t>快速响应</w:t>
      </w:r>
    </w:p>
    <w:p w14:paraId="3104D7C6">
      <w:pPr>
        <w:pStyle w:val="175"/>
        <w:numPr>
          <w:ilvl w:val="-1"/>
          <w:numId w:val="0"/>
        </w:numPr>
        <w:ind w:left="0" w:firstLine="420" w:firstLineChars="200"/>
      </w:pPr>
      <w:r>
        <w:rPr>
          <w:rFonts w:hint="eastAsia"/>
        </w:rPr>
        <w:t>从智能决策模型生成指令到喷淋设备开始执行动作的系统响应时长不应大</w:t>
      </w:r>
      <w:r>
        <w:rPr>
          <w:rFonts w:hint="default" w:ascii="Times New Roman"/>
        </w:rPr>
        <w:t>于10</w:t>
      </w:r>
      <w:r>
        <w:rPr>
          <w:rFonts w:hint="default" w:ascii="Times New Roman"/>
          <w:lang w:val="en-US" w:eastAsia="zh-CN"/>
        </w:rPr>
        <w:t xml:space="preserve"> </w:t>
      </w:r>
      <w:r>
        <w:rPr>
          <w:rFonts w:hint="default" w:ascii="Times New Roman"/>
        </w:rPr>
        <w:t>s，</w:t>
      </w:r>
      <w:r>
        <w:rPr>
          <w:rFonts w:hint="eastAsia"/>
        </w:rPr>
        <w:t>确保对突发的扬尘事件能及时抑制。</w:t>
      </w:r>
    </w:p>
    <w:p w14:paraId="651ECB0C">
      <w:pPr>
        <w:pStyle w:val="106"/>
        <w:numPr>
          <w:ilvl w:val="2"/>
          <w:numId w:val="0"/>
        </w:numPr>
        <w:spacing w:before="120" w:after="120"/>
        <w:outlineLvl w:val="9"/>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w:t>
      </w:r>
      <w:r>
        <w:rPr>
          <w:rFonts w:hint="eastAsia"/>
        </w:rPr>
        <w:t>自适应与学习能力 (高级要求)</w:t>
      </w:r>
    </w:p>
    <w:p w14:paraId="603017D1">
      <w:pPr>
        <w:pStyle w:val="175"/>
        <w:numPr>
          <w:ilvl w:val="-1"/>
          <w:numId w:val="0"/>
        </w:numPr>
        <w:ind w:left="0" w:firstLine="0"/>
      </w:pPr>
      <w:r>
        <w:rPr>
          <w:rFonts w:hint="eastAsia" w:ascii="黑体" w:eastAsia="黑体" w:cs="Times New Roman"/>
          <w:b w:val="0"/>
          <w:i w:val="0"/>
          <w:sz w:val="21"/>
          <w:lang w:val="en-US" w:eastAsia="zh-CN" w:bidi="ar-SA"/>
        </w:rPr>
        <w:t>7.6</w:t>
      </w:r>
      <w:r>
        <w:rPr>
          <w:rFonts w:hint="default" w:ascii="黑体" w:hAnsi="Times New Roman" w:eastAsia="黑体" w:cs="Times New Roman"/>
          <w:b w:val="0"/>
          <w:i w:val="0"/>
          <w:sz w:val="21"/>
          <w:lang w:val="en-US" w:eastAsia="zh-CN" w:bidi="ar-SA"/>
        </w:rPr>
        <w:t>.1　</w:t>
      </w:r>
      <w:r>
        <w:rPr>
          <w:rFonts w:hint="eastAsia"/>
        </w:rPr>
        <w:t>（可选）鼓励系统具备一定的自适应能力，能根据喷淋效果反馈微调模型参数或控制策略。</w:t>
      </w:r>
    </w:p>
    <w:p w14:paraId="119CD7F5">
      <w:pPr>
        <w:pStyle w:val="175"/>
        <w:numPr>
          <w:ilvl w:val="-1"/>
          <w:numId w:val="0"/>
        </w:numPr>
        <w:ind w:left="0" w:firstLine="0"/>
      </w:pPr>
      <w:r>
        <w:rPr>
          <w:rFonts w:hint="eastAsia" w:ascii="黑体" w:eastAsia="黑体" w:cs="Times New Roman"/>
          <w:b w:val="0"/>
          <w:i w:val="0"/>
          <w:sz w:val="21"/>
          <w:lang w:val="en-US" w:eastAsia="zh-CN" w:bidi="ar-SA"/>
        </w:rPr>
        <w:t>7.6</w:t>
      </w:r>
      <w:r>
        <w:rPr>
          <w:rFonts w:hint="default" w:ascii="黑体" w:hAnsi="Times New Roman" w:eastAsia="黑体" w:cs="Times New Roman"/>
          <w:b w:val="0"/>
          <w:i w:val="0"/>
          <w:sz w:val="21"/>
          <w:lang w:val="en-US" w:eastAsia="zh-CN" w:bidi="ar-SA"/>
        </w:rPr>
        <w:t>.</w:t>
      </w:r>
      <w:r>
        <w:rPr>
          <w:rFonts w:hint="eastAsia" w:ascii="黑体" w:eastAsia="黑体" w:cs="Times New Roman"/>
          <w:b w:val="0"/>
          <w:i w:val="0"/>
          <w:sz w:val="21"/>
          <w:lang w:val="en-US" w:eastAsia="zh-CN" w:bidi="ar-SA"/>
        </w:rPr>
        <w:t>2</w:t>
      </w:r>
      <w:r>
        <w:rPr>
          <w:rFonts w:hint="default" w:ascii="黑体" w:hAnsi="Times New Roman" w:eastAsia="黑体" w:cs="Times New Roman"/>
          <w:b w:val="0"/>
          <w:i w:val="0"/>
          <w:sz w:val="21"/>
          <w:lang w:val="en-US" w:eastAsia="zh-CN" w:bidi="ar-SA"/>
        </w:rPr>
        <w:t>　</w:t>
      </w:r>
      <w:r>
        <w:rPr>
          <w:rFonts w:hint="eastAsia"/>
        </w:rPr>
        <w:t>（可选）鼓励模型具备持续学习能力，利用积累的历史运行数据优化预测准确性和控制效果。</w:t>
      </w:r>
    </w:p>
    <w:bookmarkEnd w:id="25"/>
    <w:p w14:paraId="5515AE54">
      <w:pPr>
        <w:pStyle w:val="57"/>
        <w:ind w:firstLine="0" w:firstLineChars="0"/>
        <w:jc w:val="center"/>
      </w:pPr>
      <w:bookmarkStart w:id="66" w:name="BookMark8"/>
      <w:r>
        <w:rPr>
          <w:rFonts w:hint="eastAsia"/>
        </w:rPr>
        <w:drawing>
          <wp:inline distT="0" distB="0" distL="0" distR="0">
            <wp:extent cx="1485900" cy="317500"/>
            <wp:effectExtent l="0" t="0" r="0" b="6350"/>
            <wp:docPr id="2075716083" name="图片 1"/>
            <wp:cNvGraphicFramePr/>
            <a:graphic xmlns:a="http://schemas.openxmlformats.org/drawingml/2006/main">
              <a:graphicData uri="http://schemas.openxmlformats.org/drawingml/2006/picture">
                <pic:pic xmlns:pic="http://schemas.openxmlformats.org/drawingml/2006/picture">
                  <pic:nvPicPr>
                    <pic:cNvPr id="2075716083"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B3DC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218E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D857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A6244">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3A2F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8BB3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F3E4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45F48">
    <w:pPr>
      <w:pStyle w:val="62"/>
      <w:rPr>
        <w:rFonts w:hint="eastAsia"/>
      </w:rPr>
    </w:pPr>
    <w:r>
      <w:fldChar w:fldCharType="begin"/>
    </w:r>
    <w:r>
      <w:instrText xml:space="preserve"> STYLEREF  标准文件_文件编号  \* MERGEFORMAT </w:instrText>
    </w:r>
    <w:r>
      <w:fldChar w:fldCharType="separate"/>
    </w:r>
    <w:r>
      <w:t>T/CPHA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FA054">
    <w:pPr>
      <w:pStyle w:val="18"/>
      <w:jc w:val="right"/>
    </w:pPr>
    <w:r>
      <w:fldChar w:fldCharType="begin"/>
    </w:r>
    <w:r>
      <w:instrText xml:space="preserve"> STYLEREF  标准文件_文件编号  \* MERGEFORMAT </w:instrText>
    </w:r>
    <w:r>
      <w:fldChar w:fldCharType="separate"/>
    </w:r>
    <w:r>
      <w:t>T/CPHA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F0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A2D"/>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973"/>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31D"/>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C83"/>
    <w:rsid w:val="00896DFF"/>
    <w:rsid w:val="0089762C"/>
    <w:rsid w:val="008A173B"/>
    <w:rsid w:val="008A1893"/>
    <w:rsid w:val="008A3567"/>
    <w:rsid w:val="008A476F"/>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8D6"/>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33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F0C"/>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DA8"/>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0F2E11"/>
    <w:rsid w:val="0D68533D"/>
    <w:rsid w:val="0DF26CD2"/>
    <w:rsid w:val="130B7EEE"/>
    <w:rsid w:val="13D80718"/>
    <w:rsid w:val="144D6AC7"/>
    <w:rsid w:val="18F5116E"/>
    <w:rsid w:val="190A3122"/>
    <w:rsid w:val="1A63624B"/>
    <w:rsid w:val="22FA4207"/>
    <w:rsid w:val="27FA25B3"/>
    <w:rsid w:val="29171B75"/>
    <w:rsid w:val="2B231E21"/>
    <w:rsid w:val="2B746B21"/>
    <w:rsid w:val="2E552C39"/>
    <w:rsid w:val="331B7C94"/>
    <w:rsid w:val="34565015"/>
    <w:rsid w:val="393D0552"/>
    <w:rsid w:val="3CA64660"/>
    <w:rsid w:val="436C6603"/>
    <w:rsid w:val="4F443F90"/>
    <w:rsid w:val="53DD2EB9"/>
    <w:rsid w:val="55766E6E"/>
    <w:rsid w:val="56185E07"/>
    <w:rsid w:val="5E1B6EFF"/>
    <w:rsid w:val="5F9C5723"/>
    <w:rsid w:val="5FCD7FD2"/>
    <w:rsid w:val="60AB45E4"/>
    <w:rsid w:val="63974B7F"/>
    <w:rsid w:val="6AF00EE6"/>
    <w:rsid w:val="6F865AA7"/>
    <w:rsid w:val="6F9E1043"/>
    <w:rsid w:val="74C7103C"/>
    <w:rsid w:val="79FE7163"/>
    <w:rsid w:val="7B6E5D6D"/>
    <w:rsid w:val="7BDF4EBD"/>
    <w:rsid w:val="7EB75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9"/>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annotation reference"/>
    <w:basedOn w:val="28"/>
    <w:autoRedefine/>
    <w:semiHidden/>
    <w:unhideWhenUsed/>
    <w:qFormat/>
    <w:uiPriority w:val="0"/>
    <w:rPr>
      <w:sz w:val="21"/>
      <w:szCs w:val="21"/>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3 字符"/>
    <w:link w:val="4"/>
    <w:uiPriority w:val="0"/>
    <w:rPr>
      <w:b/>
      <w:bCs/>
      <w:kern w:val="2"/>
      <w:sz w:val="32"/>
      <w:szCs w:val="32"/>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uiPriority w:val="29"/>
    <w:rPr>
      <w:i/>
      <w:iCs/>
      <w:color w:val="000000"/>
      <w:kern w:val="2"/>
      <w:sz w:val="21"/>
      <w:szCs w:val="21"/>
    </w:rPr>
  </w:style>
  <w:style w:type="character" w:customStyle="1" w:styleId="49">
    <w:name w:val="标题 字符"/>
    <w:link w:val="25"/>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8"/>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8"/>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8"/>
    <w:qFormat/>
    <w:uiPriority w:val="0"/>
    <w:rPr>
      <w:rFonts w:ascii="黑体" w:eastAsia="黑体"/>
      <w:spacing w:val="85"/>
      <w:w w:val="100"/>
      <w:position w:val="3"/>
      <w:sz w:val="28"/>
      <w:szCs w:val="28"/>
    </w:rPr>
  </w:style>
  <w:style w:type="character" w:customStyle="1" w:styleId="231">
    <w:name w:val="Body text|2_"/>
    <w:basedOn w:val="28"/>
    <w:link w:val="232"/>
    <w:autoRedefine/>
    <w:qFormat/>
    <w:uiPriority w:val="0"/>
    <w:rPr>
      <w:lang w:val="zh-TW" w:eastAsia="zh-TW" w:bidi="zh-TW"/>
    </w:rPr>
  </w:style>
  <w:style w:type="paragraph" w:customStyle="1" w:styleId="232">
    <w:name w:val="Body text|2"/>
    <w:basedOn w:val="1"/>
    <w:link w:val="231"/>
    <w:autoRedefine/>
    <w:qFormat/>
    <w:uiPriority w:val="0"/>
    <w:pPr>
      <w:adjustRightInd/>
      <w:spacing w:line="276" w:lineRule="auto"/>
      <w:ind w:firstLine="420" w:firstLineChars="200"/>
      <w:jc w:val="left"/>
    </w:pPr>
    <w:rPr>
      <w:kern w:val="0"/>
      <w:sz w:val="20"/>
      <w:szCs w:val="20"/>
      <w:lang w:val="zh-TW" w:eastAsia="zh-TW" w:bidi="zh-TW"/>
    </w:rPr>
  </w:style>
  <w:style w:type="paragraph" w:customStyle="1" w:styleId="233">
    <w:name w:val="列项——（一级）"/>
    <w:autoRedefine/>
    <w:qFormat/>
    <w:uiPriority w:val="0"/>
    <w:pPr>
      <w:widowControl w:val="0"/>
      <w:jc w:val="both"/>
    </w:pPr>
    <w:rPr>
      <w:rFonts w:ascii="宋体" w:hAnsi="Times New Roman" w:eastAsia="宋体" w:cs="Times New Roman"/>
      <w:sz w:val="21"/>
      <w:lang w:val="en-US" w:eastAsia="zh-CN" w:bidi="ar-SA"/>
    </w:rPr>
  </w:style>
  <w:style w:type="paragraph" w:customStyle="1" w:styleId="234">
    <w:name w:val="一级条标题"/>
    <w:next w:val="1"/>
    <w:autoRedefine/>
    <w:qFormat/>
    <w:uiPriority w:val="0"/>
    <w:pPr>
      <w:spacing w:line="360" w:lineRule="exact"/>
      <w:jc w:val="both"/>
      <w:outlineLvl w:val="2"/>
    </w:pPr>
    <w:rPr>
      <w:rFonts w:ascii="黑体" w:hAnsi="Times New Roman" w:eastAsia="黑体" w:cs="Times New Roman"/>
      <w:sz w:val="21"/>
      <w:szCs w:val="21"/>
      <w:lang w:val="en-US" w:eastAsia="zh-CN" w:bidi="ar-SA"/>
    </w:rPr>
  </w:style>
  <w:style w:type="paragraph" w:customStyle="1" w:styleId="235">
    <w:name w:val="章标题"/>
    <w:next w:val="1"/>
    <w:autoRedefine/>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数字编号列项（二级）"/>
    <w:autoRedefine/>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237">
    <w:name w:val="字母编号列项（一级）"/>
    <w:autoRedefine/>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38">
    <w:name w:val="编号列项（三级）"/>
    <w:autoRedefine/>
    <w:qFormat/>
    <w:uiPriority w:val="0"/>
    <w:pPr>
      <w:tabs>
        <w:tab w:val="left" w:pos="0"/>
      </w:tabs>
      <w:ind w:left="1679" w:hanging="420"/>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ACB12A82EE74C7AB75C0249B3A0030B"/>
        <w:style w:val=""/>
        <w:category>
          <w:name w:val="常规"/>
          <w:gallery w:val="placeholder"/>
        </w:category>
        <w:types>
          <w:type w:val="bbPlcHdr"/>
        </w:types>
        <w:behaviors>
          <w:behavior w:val="content"/>
        </w:behaviors>
        <w:description w:val=""/>
        <w:guid w:val="{0C3D1B9B-FFF2-47CF-A819-C4183BDB882B}"/>
      </w:docPartPr>
      <w:docPartBody>
        <w:p w14:paraId="62A8A7B5">
          <w:pPr>
            <w:pStyle w:val="5"/>
            <w:rPr>
              <w:rFonts w:hint="eastAsia"/>
            </w:rPr>
          </w:pPr>
          <w:r>
            <w:rPr>
              <w:rStyle w:val="4"/>
              <w:rFonts w:hint="eastAsia"/>
            </w:rPr>
            <w:t>单击或点击此处输入文字。</w:t>
          </w:r>
        </w:p>
      </w:docPartBody>
    </w:docPart>
    <w:docPart>
      <w:docPartPr>
        <w:name w:val="A2AD780076924096BA89A55CB18D0A17"/>
        <w:style w:val=""/>
        <w:category>
          <w:name w:val="常规"/>
          <w:gallery w:val="placeholder"/>
        </w:category>
        <w:types>
          <w:type w:val="bbPlcHdr"/>
        </w:types>
        <w:behaviors>
          <w:behavior w:val="content"/>
        </w:behaviors>
        <w:description w:val=""/>
        <w:guid w:val="{80AC1264-AB38-4408-BD87-EB379BCA9065}"/>
      </w:docPartPr>
      <w:docPartBody>
        <w:p w14:paraId="0F08E586">
          <w:pPr>
            <w:pStyle w:val="6"/>
            <w:rPr>
              <w:rFonts w:hint="eastAsia"/>
            </w:rPr>
          </w:pPr>
          <w:r>
            <w:rPr>
              <w:rStyle w:val="4"/>
              <w:rFonts w:hint="eastAsia"/>
            </w:rPr>
            <w:t>选择一项。</w:t>
          </w:r>
        </w:p>
      </w:docPartBody>
    </w:docPart>
    <w:docPart>
      <w:docPartPr>
        <w:name w:val="66FC780DCB084A6FAE1FD14E85FC152A"/>
        <w:style w:val=""/>
        <w:category>
          <w:name w:val="常规"/>
          <w:gallery w:val="placeholder"/>
        </w:category>
        <w:types>
          <w:type w:val="bbPlcHdr"/>
        </w:types>
        <w:behaviors>
          <w:behavior w:val="content"/>
        </w:behaviors>
        <w:description w:val=""/>
        <w:guid w:val="{A84F80CE-D409-4B6A-A46D-7AD3DD329150}"/>
      </w:docPartPr>
      <w:docPartBody>
        <w:p w14:paraId="12CE121A">
          <w:pPr>
            <w:pStyle w:val="7"/>
            <w:rPr>
              <w:rFonts w:hint="eastAsia"/>
            </w:rPr>
          </w:pPr>
          <w:r>
            <w:rPr>
              <w:rStyle w:val="4"/>
              <w:rFonts w:hint="eastAsia"/>
            </w:rPr>
            <w:t>选择一项。</w:t>
          </w:r>
        </w:p>
      </w:docPartBody>
    </w:docPart>
    <w:docPart>
      <w:docPartPr>
        <w:name w:val="{6c24e800-23c1-4cc6-89e1-19f8526bbabe}"/>
        <w:style w:val=""/>
        <w:category>
          <w:name w:val="常规"/>
          <w:gallery w:val="placeholder"/>
        </w:category>
        <w:types>
          <w:type w:val="bbPlcHdr"/>
        </w:types>
        <w:behaviors>
          <w:behavior w:val="content"/>
        </w:behaviors>
        <w:description w:val=""/>
        <w:guid w:val="{6c24e800-23c1-4cc6-89e1-19f8526bbabe}"/>
      </w:docPartPr>
      <w:docPartBody>
        <w:p w14:paraId="6A9DC46A">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F18"/>
    <w:rsid w:val="000A3A2D"/>
    <w:rsid w:val="006D56F2"/>
    <w:rsid w:val="0078031D"/>
    <w:rsid w:val="00C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ACB12A82EE74C7AB75C0249B3A0030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2AD780076924096BA89A55CB18D0A1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6FC780DCB084A6FAE1FD14E85FC152A"/>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1376</Words>
  <Characters>1733</Characters>
  <Lines>300</Lines>
  <Paragraphs>269</Paragraphs>
  <TotalTime>3</TotalTime>
  <ScaleCrop>false</ScaleCrop>
  <LinksUpToDate>false</LinksUpToDate>
  <CharactersWithSpaces>1841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2025-08-06T02:17:00Z</dcterms:created>
  <dc:creator>闻君</dc:creator>
  <dc:description>&lt;config cover="true" show_menu="true" version="1.0.0" doctype="SDKXY"&gt;_x000d_
&lt;/config&gt;</dc:description>
  <cp:lastModifiedBy>薛永华</cp:lastModifiedBy>
  <cp:lastPrinted>2021-02-02T08:22:00Z</cp:lastPrinted>
  <dcterms:modified xsi:type="dcterms:W3CDTF">2026-02-03T02:03:08Z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eyJoZGlkIjoiNGRjN2E4OWViYjI5YmNiMzg1Y2I3YTQ0NmJlODA0ZTciLCJ1c2VySWQiOiIzNzE0OTEyMTgifQ==</vt:lpwstr>
  </property>
  <property fmtid="{D5CDD505-2E9C-101B-9397-08002B2CF9AE}" pid="15" name="KSOProductBuildVer">
    <vt:lpwstr>2052-12.1.0.24657</vt:lpwstr>
  </property>
  <property fmtid="{D5CDD505-2E9C-101B-9397-08002B2CF9AE}" pid="16" name="ICV">
    <vt:lpwstr>DE18A29428D444AC9CE1DB3D0CE9C626_13</vt:lpwstr>
  </property>
</Properties>
</file>