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45843" w14:textId="77777777" w:rsidR="00F028A9" w:rsidRDefault="00F028A9"/>
    <w:p w14:paraId="16AB0252" w14:textId="77777777" w:rsidR="00F028A9" w:rsidRDefault="00F028A9">
      <w:pPr>
        <w:widowControl/>
        <w:rPr>
          <w:sz w:val="28"/>
          <w:szCs w:val="28"/>
        </w:rPr>
      </w:pPr>
    </w:p>
    <w:p w14:paraId="3984C08E" w14:textId="77777777" w:rsidR="00F028A9" w:rsidRDefault="00F028A9">
      <w:pPr>
        <w:widowControl/>
        <w:rPr>
          <w:sz w:val="28"/>
          <w:szCs w:val="28"/>
        </w:rPr>
      </w:pPr>
    </w:p>
    <w:p w14:paraId="34DBED57" w14:textId="77777777" w:rsidR="00F028A9" w:rsidRDefault="00000000">
      <w:pPr>
        <w:widowControl/>
        <w:jc w:val="center"/>
        <w:rPr>
          <w:rFonts w:ascii="黑体" w:eastAsia="黑体" w:hAnsi="黑体"/>
          <w:b/>
          <w:sz w:val="44"/>
          <w:szCs w:val="44"/>
        </w:rPr>
      </w:pPr>
      <w:r>
        <w:rPr>
          <w:rFonts w:ascii="黑体" w:eastAsia="黑体" w:hAnsi="黑体" w:hint="eastAsia"/>
          <w:b/>
          <w:sz w:val="44"/>
          <w:szCs w:val="44"/>
        </w:rPr>
        <w:t>中国港口协会团体</w:t>
      </w:r>
      <w:r>
        <w:rPr>
          <w:rFonts w:ascii="黑体" w:eastAsia="黑体" w:hAnsi="黑体"/>
          <w:b/>
          <w:sz w:val="44"/>
          <w:szCs w:val="44"/>
        </w:rPr>
        <w:t>标准</w:t>
      </w:r>
    </w:p>
    <w:p w14:paraId="742CEFB4" w14:textId="77777777" w:rsidR="00F028A9" w:rsidRDefault="00F028A9">
      <w:pPr>
        <w:widowControl/>
        <w:jc w:val="center"/>
        <w:rPr>
          <w:rFonts w:ascii="黑体" w:eastAsia="黑体" w:hAnsi="黑体"/>
          <w:b/>
          <w:sz w:val="44"/>
          <w:szCs w:val="44"/>
        </w:rPr>
      </w:pPr>
    </w:p>
    <w:p w14:paraId="7AF4C911" w14:textId="77777777" w:rsidR="00F028A9" w:rsidRDefault="00F028A9">
      <w:pPr>
        <w:spacing w:line="360" w:lineRule="auto"/>
        <w:jc w:val="center"/>
        <w:rPr>
          <w:rFonts w:ascii="黑体" w:eastAsia="黑体" w:hAnsi="黑体"/>
          <w:b/>
          <w:sz w:val="44"/>
          <w:szCs w:val="44"/>
        </w:rPr>
      </w:pPr>
    </w:p>
    <w:p w14:paraId="798FF76E" w14:textId="77777777" w:rsidR="00F028A9" w:rsidRPr="002F68AC" w:rsidRDefault="00000000">
      <w:pPr>
        <w:spacing w:line="360" w:lineRule="auto"/>
        <w:jc w:val="center"/>
        <w:rPr>
          <w:rFonts w:ascii="黑体" w:eastAsia="黑体" w:hAnsi="黑体"/>
          <w:b/>
          <w:sz w:val="44"/>
          <w:szCs w:val="44"/>
        </w:rPr>
      </w:pPr>
      <w:r w:rsidRPr="002F68AC">
        <w:rPr>
          <w:rFonts w:ascii="黑体" w:eastAsia="黑体" w:hAnsi="黑体" w:hint="eastAsia"/>
          <w:b/>
          <w:sz w:val="44"/>
          <w:szCs w:val="44"/>
        </w:rPr>
        <w:t>集装箱码头自动驾驶车辆路径导航数据交互技术要求</w:t>
      </w:r>
      <w:r w:rsidRPr="002F68AC">
        <w:t xml:space="preserve"> </w:t>
      </w:r>
    </w:p>
    <w:p w14:paraId="231420E9" w14:textId="77777777" w:rsidR="00F028A9" w:rsidRPr="002F68AC" w:rsidRDefault="00F028A9">
      <w:pPr>
        <w:widowControl/>
        <w:rPr>
          <w:rFonts w:ascii="黑体" w:eastAsia="黑体" w:hAnsi="黑体"/>
          <w:b/>
          <w:sz w:val="44"/>
          <w:szCs w:val="44"/>
        </w:rPr>
      </w:pPr>
    </w:p>
    <w:p w14:paraId="563F5E57" w14:textId="77777777" w:rsidR="00F028A9" w:rsidRDefault="00F028A9">
      <w:pPr>
        <w:widowControl/>
        <w:rPr>
          <w:rFonts w:ascii="黑体" w:eastAsia="黑体" w:hAnsi="黑体"/>
          <w:b/>
          <w:sz w:val="44"/>
          <w:szCs w:val="44"/>
        </w:rPr>
      </w:pPr>
    </w:p>
    <w:p w14:paraId="58130553" w14:textId="77777777" w:rsidR="00F028A9" w:rsidRDefault="00F028A9">
      <w:pPr>
        <w:widowControl/>
        <w:rPr>
          <w:rFonts w:ascii="黑体" w:eastAsia="黑体" w:hAnsi="黑体"/>
          <w:b/>
          <w:sz w:val="44"/>
          <w:szCs w:val="44"/>
        </w:rPr>
      </w:pPr>
    </w:p>
    <w:p w14:paraId="6CC01332" w14:textId="3D2B7EF6" w:rsidR="00F028A9" w:rsidRDefault="00000000">
      <w:pPr>
        <w:spacing w:line="360" w:lineRule="auto"/>
        <w:jc w:val="center"/>
        <w:rPr>
          <w:rFonts w:ascii="黑体" w:eastAsia="黑体" w:hAnsi="黑体"/>
          <w:b/>
          <w:sz w:val="44"/>
          <w:szCs w:val="44"/>
        </w:rPr>
      </w:pPr>
      <w:r>
        <w:rPr>
          <w:rFonts w:ascii="黑体" w:eastAsia="黑体" w:hAnsi="黑体" w:hint="eastAsia"/>
          <w:b/>
          <w:sz w:val="44"/>
          <w:szCs w:val="44"/>
        </w:rPr>
        <w:t>（</w:t>
      </w:r>
      <w:r w:rsidR="006E1DD9">
        <w:rPr>
          <w:rFonts w:ascii="黑体" w:eastAsia="黑体" w:hAnsi="黑体" w:hint="eastAsia"/>
          <w:b/>
          <w:sz w:val="44"/>
          <w:szCs w:val="44"/>
        </w:rPr>
        <w:t>征求意见</w:t>
      </w:r>
      <w:r>
        <w:rPr>
          <w:rFonts w:ascii="黑体" w:eastAsia="黑体" w:hAnsi="黑体" w:hint="eastAsia"/>
          <w:b/>
          <w:sz w:val="44"/>
          <w:szCs w:val="44"/>
        </w:rPr>
        <w:t>稿）</w:t>
      </w:r>
    </w:p>
    <w:p w14:paraId="1FAD6166" w14:textId="77777777" w:rsidR="00F028A9" w:rsidRDefault="00000000">
      <w:pPr>
        <w:widowControl/>
        <w:jc w:val="center"/>
        <w:rPr>
          <w:rFonts w:ascii="黑体" w:eastAsia="黑体" w:hAnsi="黑体"/>
          <w:b/>
          <w:sz w:val="44"/>
          <w:szCs w:val="44"/>
        </w:rPr>
      </w:pPr>
      <w:r>
        <w:rPr>
          <w:rFonts w:ascii="黑体" w:eastAsia="黑体" w:hAnsi="黑体"/>
          <w:b/>
          <w:sz w:val="44"/>
          <w:szCs w:val="44"/>
        </w:rPr>
        <w:t>编</w:t>
      </w:r>
      <w:r>
        <w:rPr>
          <w:rFonts w:ascii="黑体" w:eastAsia="黑体" w:hAnsi="黑体" w:hint="eastAsia"/>
          <w:b/>
          <w:sz w:val="44"/>
          <w:szCs w:val="44"/>
        </w:rPr>
        <w:t xml:space="preserve"> </w:t>
      </w:r>
      <w:r>
        <w:rPr>
          <w:rFonts w:ascii="黑体" w:eastAsia="黑体" w:hAnsi="黑体"/>
          <w:b/>
          <w:sz w:val="44"/>
          <w:szCs w:val="44"/>
        </w:rPr>
        <w:t>制</w:t>
      </w:r>
      <w:r>
        <w:rPr>
          <w:rFonts w:ascii="黑体" w:eastAsia="黑体" w:hAnsi="黑体" w:hint="eastAsia"/>
          <w:b/>
          <w:sz w:val="44"/>
          <w:szCs w:val="44"/>
        </w:rPr>
        <w:t xml:space="preserve"> </w:t>
      </w:r>
      <w:r>
        <w:rPr>
          <w:rFonts w:ascii="黑体" w:eastAsia="黑体" w:hAnsi="黑体"/>
          <w:b/>
          <w:sz w:val="44"/>
          <w:szCs w:val="44"/>
        </w:rPr>
        <w:t>说</w:t>
      </w:r>
      <w:r>
        <w:rPr>
          <w:rFonts w:ascii="黑体" w:eastAsia="黑体" w:hAnsi="黑体" w:hint="eastAsia"/>
          <w:b/>
          <w:sz w:val="44"/>
          <w:szCs w:val="44"/>
        </w:rPr>
        <w:t xml:space="preserve"> </w:t>
      </w:r>
      <w:r>
        <w:rPr>
          <w:rFonts w:ascii="黑体" w:eastAsia="黑体" w:hAnsi="黑体"/>
          <w:b/>
          <w:sz w:val="44"/>
          <w:szCs w:val="44"/>
        </w:rPr>
        <w:t>明</w:t>
      </w:r>
    </w:p>
    <w:p w14:paraId="597E3FAC" w14:textId="77777777" w:rsidR="00F028A9" w:rsidRDefault="00F028A9">
      <w:pPr>
        <w:widowControl/>
        <w:rPr>
          <w:szCs w:val="21"/>
        </w:rPr>
      </w:pPr>
    </w:p>
    <w:p w14:paraId="5B5D9D79" w14:textId="77777777" w:rsidR="00F028A9" w:rsidRDefault="00F028A9">
      <w:pPr>
        <w:widowControl/>
        <w:rPr>
          <w:szCs w:val="21"/>
        </w:rPr>
      </w:pPr>
    </w:p>
    <w:p w14:paraId="316F0BB1" w14:textId="77777777" w:rsidR="00F028A9" w:rsidRDefault="00F028A9">
      <w:pPr>
        <w:widowControl/>
        <w:rPr>
          <w:szCs w:val="21"/>
        </w:rPr>
      </w:pPr>
    </w:p>
    <w:p w14:paraId="0C204BE3" w14:textId="77777777" w:rsidR="00F028A9" w:rsidRDefault="00F028A9">
      <w:pPr>
        <w:widowControl/>
        <w:rPr>
          <w:szCs w:val="21"/>
        </w:rPr>
      </w:pPr>
    </w:p>
    <w:p w14:paraId="4E0BFAFC" w14:textId="77777777" w:rsidR="00F028A9" w:rsidRDefault="00F028A9">
      <w:pPr>
        <w:widowControl/>
        <w:rPr>
          <w:szCs w:val="21"/>
        </w:rPr>
      </w:pPr>
    </w:p>
    <w:p w14:paraId="3CA8863D" w14:textId="77777777" w:rsidR="00F028A9" w:rsidRDefault="00F028A9">
      <w:pPr>
        <w:widowControl/>
        <w:rPr>
          <w:szCs w:val="21"/>
        </w:rPr>
      </w:pPr>
    </w:p>
    <w:p w14:paraId="2832B332" w14:textId="77777777" w:rsidR="00F028A9" w:rsidRDefault="00F028A9">
      <w:pPr>
        <w:widowControl/>
        <w:rPr>
          <w:szCs w:val="21"/>
        </w:rPr>
      </w:pPr>
    </w:p>
    <w:p w14:paraId="3C114142" w14:textId="77777777" w:rsidR="00F028A9" w:rsidRDefault="00F028A9">
      <w:pPr>
        <w:widowControl/>
        <w:rPr>
          <w:szCs w:val="21"/>
        </w:rPr>
      </w:pPr>
    </w:p>
    <w:p w14:paraId="7D014E60" w14:textId="77777777" w:rsidR="00F028A9" w:rsidRDefault="00F028A9">
      <w:pPr>
        <w:widowControl/>
        <w:rPr>
          <w:szCs w:val="21"/>
        </w:rPr>
      </w:pPr>
    </w:p>
    <w:p w14:paraId="3628AB11" w14:textId="77777777" w:rsidR="00F028A9" w:rsidRDefault="00F028A9">
      <w:pPr>
        <w:widowControl/>
        <w:rPr>
          <w:szCs w:val="21"/>
        </w:rPr>
      </w:pPr>
    </w:p>
    <w:p w14:paraId="51377E1F" w14:textId="77777777" w:rsidR="00F028A9" w:rsidRDefault="00F028A9">
      <w:pPr>
        <w:widowControl/>
        <w:rPr>
          <w:szCs w:val="21"/>
        </w:rPr>
      </w:pPr>
    </w:p>
    <w:p w14:paraId="58EE4806" w14:textId="77777777" w:rsidR="00F028A9" w:rsidRDefault="00000000">
      <w:pPr>
        <w:widowControl/>
        <w:jc w:val="center"/>
        <w:rPr>
          <w:rFonts w:ascii="黑体" w:eastAsia="黑体" w:hAnsi="黑体"/>
          <w:b/>
          <w:sz w:val="32"/>
          <w:szCs w:val="32"/>
        </w:rPr>
      </w:pPr>
      <w:r>
        <w:rPr>
          <w:rFonts w:ascii="黑体" w:eastAsia="黑体" w:hAnsi="黑体"/>
          <w:b/>
          <w:sz w:val="32"/>
          <w:szCs w:val="32"/>
        </w:rPr>
        <w:t>标准起草组</w:t>
      </w:r>
    </w:p>
    <w:p w14:paraId="484DE313" w14:textId="77777777" w:rsidR="00F028A9" w:rsidRDefault="00000000">
      <w:pPr>
        <w:widowControl/>
        <w:jc w:val="center"/>
        <w:rPr>
          <w:rFonts w:ascii="黑体" w:eastAsia="黑体" w:hAnsi="黑体" w:cs="Arial"/>
          <w:b/>
          <w:color w:val="000000" w:themeColor="text1"/>
          <w:sz w:val="32"/>
          <w:szCs w:val="32"/>
        </w:rPr>
      </w:pPr>
      <w:r>
        <w:rPr>
          <w:rFonts w:ascii="黑体" w:eastAsia="黑体" w:hAnsi="黑体" w:cs="Arial"/>
          <w:b/>
          <w:color w:val="000000" w:themeColor="text1"/>
          <w:sz w:val="32"/>
          <w:szCs w:val="32"/>
        </w:rPr>
        <w:t>2025年</w:t>
      </w:r>
      <w:r>
        <w:rPr>
          <w:rFonts w:ascii="黑体" w:eastAsia="黑体" w:hAnsi="黑体" w:cs="Arial" w:hint="eastAsia"/>
          <w:b/>
          <w:color w:val="000000" w:themeColor="text1"/>
          <w:sz w:val="32"/>
          <w:szCs w:val="32"/>
        </w:rPr>
        <w:t xml:space="preserve">9 </w:t>
      </w:r>
      <w:r>
        <w:rPr>
          <w:rFonts w:ascii="黑体" w:eastAsia="黑体" w:hAnsi="黑体" w:cs="Arial"/>
          <w:b/>
          <w:color w:val="000000" w:themeColor="text1"/>
          <w:sz w:val="32"/>
          <w:szCs w:val="32"/>
        </w:rPr>
        <w:t>月</w:t>
      </w:r>
      <w:r>
        <w:rPr>
          <w:rFonts w:ascii="黑体" w:eastAsia="黑体" w:hAnsi="黑体" w:cs="Arial" w:hint="eastAsia"/>
          <w:b/>
          <w:color w:val="000000" w:themeColor="text1"/>
          <w:sz w:val="32"/>
          <w:szCs w:val="32"/>
        </w:rPr>
        <w:t xml:space="preserve"> 10</w:t>
      </w:r>
      <w:r>
        <w:rPr>
          <w:rFonts w:ascii="黑体" w:eastAsia="黑体" w:hAnsi="黑体" w:cs="Arial"/>
          <w:b/>
          <w:color w:val="000000" w:themeColor="text1"/>
          <w:sz w:val="32"/>
          <w:szCs w:val="32"/>
        </w:rPr>
        <w:t>日</w:t>
      </w:r>
    </w:p>
    <w:p w14:paraId="6F0D2205" w14:textId="77777777" w:rsidR="00F028A9" w:rsidRDefault="00F028A9"/>
    <w:p w14:paraId="65DF1D04" w14:textId="77777777" w:rsidR="00F028A9" w:rsidRDefault="00F028A9">
      <w:pPr>
        <w:sectPr w:rsidR="00F028A9">
          <w:headerReference w:type="even" r:id="rId8"/>
          <w:headerReference w:type="default" r:id="rId9"/>
          <w:footerReference w:type="even" r:id="rId10"/>
          <w:footerReference w:type="default" r:id="rId11"/>
          <w:headerReference w:type="first" r:id="rId12"/>
          <w:footerReference w:type="first" r:id="rId13"/>
          <w:pgSz w:w="11906" w:h="16838"/>
          <w:pgMar w:top="1588" w:right="1814" w:bottom="1588" w:left="1814" w:header="851" w:footer="992" w:gutter="0"/>
          <w:cols w:space="425"/>
          <w:titlePg/>
          <w:docGrid w:type="lines" w:linePitch="312"/>
        </w:sectPr>
      </w:pPr>
    </w:p>
    <w:sdt>
      <w:sdtPr>
        <w:rPr>
          <w:rFonts w:ascii="Times New Roman" w:eastAsia="宋体" w:hAnsi="Times New Roman" w:cs="Times New Roman"/>
          <w:b w:val="0"/>
          <w:bCs w:val="0"/>
          <w:color w:val="auto"/>
          <w:kern w:val="2"/>
          <w:sz w:val="21"/>
          <w:szCs w:val="20"/>
          <w:lang w:val="zh-CN"/>
        </w:rPr>
        <w:id w:val="262339798"/>
        <w:docPartObj>
          <w:docPartGallery w:val="Table of Contents"/>
          <w:docPartUnique/>
        </w:docPartObj>
      </w:sdtPr>
      <w:sdtEndPr>
        <w:rPr>
          <w:rFonts w:ascii="宋体" w:hAnsi="宋体"/>
          <w:sz w:val="24"/>
          <w:szCs w:val="24"/>
          <w:lang w:val="en-US"/>
        </w:rPr>
      </w:sdtEndPr>
      <w:sdtContent>
        <w:p w14:paraId="3B68FE64" w14:textId="77777777" w:rsidR="00F028A9" w:rsidRDefault="00000000">
          <w:pPr>
            <w:pStyle w:val="TOC10"/>
            <w:jc w:val="center"/>
            <w:rPr>
              <w:color w:val="auto"/>
            </w:rPr>
          </w:pPr>
          <w:r>
            <w:rPr>
              <w:color w:val="auto"/>
              <w:lang w:val="zh-CN"/>
            </w:rPr>
            <w:t>目</w:t>
          </w:r>
          <w:r>
            <w:rPr>
              <w:rFonts w:hint="eastAsia"/>
              <w:color w:val="auto"/>
              <w:lang w:val="zh-CN"/>
            </w:rPr>
            <w:t xml:space="preserve"> </w:t>
          </w:r>
          <w:r>
            <w:rPr>
              <w:color w:val="auto"/>
              <w:lang w:val="zh-CN"/>
            </w:rPr>
            <w:t xml:space="preserve">  </w:t>
          </w:r>
          <w:r>
            <w:rPr>
              <w:color w:val="auto"/>
              <w:lang w:val="zh-CN"/>
            </w:rPr>
            <w:t>录</w:t>
          </w:r>
        </w:p>
        <w:p w14:paraId="45F4174C" w14:textId="77E06B59" w:rsidR="00F028A9" w:rsidRDefault="00000000">
          <w:pPr>
            <w:pStyle w:val="TOC1"/>
            <w:tabs>
              <w:tab w:val="right" w:leader="dot" w:pos="8268"/>
            </w:tabs>
            <w:spacing w:line="360" w:lineRule="auto"/>
            <w:rPr>
              <w:rFonts w:ascii="宋体" w:hAnsi="宋体" w:cstheme="minorBidi"/>
              <w:b w:val="0"/>
              <w:bCs w:val="0"/>
              <w:caps w:val="0"/>
              <w:noProof/>
              <w:sz w:val="24"/>
              <w:szCs w:val="24"/>
            </w:rPr>
          </w:pPr>
          <w:r>
            <w:rPr>
              <w:rFonts w:ascii="宋体" w:hAnsi="宋体"/>
              <w:b w:val="0"/>
              <w:bCs w:val="0"/>
              <w:sz w:val="24"/>
              <w:szCs w:val="24"/>
            </w:rPr>
            <w:fldChar w:fldCharType="begin"/>
          </w:r>
          <w:r>
            <w:rPr>
              <w:rFonts w:ascii="宋体" w:hAnsi="宋体"/>
              <w:b w:val="0"/>
              <w:bCs w:val="0"/>
              <w:sz w:val="24"/>
              <w:szCs w:val="24"/>
            </w:rPr>
            <w:instrText>TOC \o "1-3" \h \z \u</w:instrText>
          </w:r>
          <w:r>
            <w:rPr>
              <w:rFonts w:ascii="宋体" w:hAnsi="宋体"/>
              <w:b w:val="0"/>
              <w:bCs w:val="0"/>
              <w:sz w:val="24"/>
              <w:szCs w:val="24"/>
            </w:rPr>
            <w:fldChar w:fldCharType="separate"/>
          </w:r>
          <w:hyperlink w:anchor="_Toc46098150" w:history="1">
            <w:r>
              <w:rPr>
                <w:rStyle w:val="af5"/>
                <w:rFonts w:ascii="宋体" w:hAnsi="宋体"/>
                <w:b w:val="0"/>
                <w:bCs w:val="0"/>
                <w:noProof/>
                <w:color w:val="auto"/>
                <w:sz w:val="24"/>
                <w:szCs w:val="24"/>
              </w:rPr>
              <w:t>一、工</w:t>
            </w:r>
            <w:r>
              <w:rPr>
                <w:rStyle w:val="af5"/>
                <w:rFonts w:ascii="宋体" w:hAnsi="宋体" w:cs="Arial"/>
                <w:b w:val="0"/>
                <w:bCs w:val="0"/>
                <w:noProof/>
                <w:color w:val="auto"/>
                <w:sz w:val="24"/>
                <w:szCs w:val="24"/>
              </w:rPr>
              <w:t>作简况</w:t>
            </w:r>
            <w:r>
              <w:rPr>
                <w:rFonts w:ascii="宋体" w:hAnsi="宋体"/>
                <w:b w:val="0"/>
                <w:bCs w:val="0"/>
                <w:noProof/>
                <w:sz w:val="24"/>
                <w:szCs w:val="24"/>
              </w:rPr>
              <w:tab/>
            </w:r>
            <w:r>
              <w:rPr>
                <w:rFonts w:ascii="宋体" w:hAnsi="宋体"/>
                <w:b w:val="0"/>
                <w:bCs w:val="0"/>
                <w:noProof/>
                <w:sz w:val="24"/>
                <w:szCs w:val="24"/>
              </w:rPr>
              <w:fldChar w:fldCharType="begin"/>
            </w:r>
            <w:r>
              <w:rPr>
                <w:rFonts w:ascii="宋体" w:hAnsi="宋体"/>
                <w:b w:val="0"/>
                <w:bCs w:val="0"/>
                <w:noProof/>
                <w:sz w:val="24"/>
                <w:szCs w:val="24"/>
              </w:rPr>
              <w:instrText xml:space="preserve"> PAGEREF _Toc46098150 \h </w:instrText>
            </w:r>
            <w:r>
              <w:rPr>
                <w:rFonts w:ascii="宋体" w:hAnsi="宋体"/>
                <w:b w:val="0"/>
                <w:bCs w:val="0"/>
                <w:noProof/>
                <w:sz w:val="24"/>
                <w:szCs w:val="24"/>
              </w:rPr>
            </w:r>
            <w:r>
              <w:rPr>
                <w:rFonts w:ascii="宋体" w:hAnsi="宋体"/>
                <w:b w:val="0"/>
                <w:bCs w:val="0"/>
                <w:noProof/>
                <w:sz w:val="24"/>
                <w:szCs w:val="24"/>
              </w:rPr>
              <w:fldChar w:fldCharType="separate"/>
            </w:r>
            <w:r w:rsidR="002F68AC">
              <w:rPr>
                <w:rFonts w:ascii="宋体" w:hAnsi="宋体"/>
                <w:b w:val="0"/>
                <w:bCs w:val="0"/>
                <w:noProof/>
                <w:sz w:val="24"/>
                <w:szCs w:val="24"/>
              </w:rPr>
              <w:t>1</w:t>
            </w:r>
            <w:r>
              <w:rPr>
                <w:rFonts w:ascii="宋体" w:hAnsi="宋体"/>
                <w:b w:val="0"/>
                <w:bCs w:val="0"/>
                <w:noProof/>
                <w:sz w:val="24"/>
                <w:szCs w:val="24"/>
              </w:rPr>
              <w:fldChar w:fldCharType="end"/>
            </w:r>
          </w:hyperlink>
        </w:p>
        <w:p w14:paraId="402E97B3" w14:textId="09A0C80C" w:rsidR="00F028A9" w:rsidRDefault="00000000">
          <w:pPr>
            <w:pStyle w:val="TOC1"/>
            <w:tabs>
              <w:tab w:val="right" w:leader="dot" w:pos="8268"/>
            </w:tabs>
            <w:spacing w:line="360" w:lineRule="auto"/>
            <w:rPr>
              <w:rFonts w:ascii="宋体" w:hAnsi="宋体" w:cstheme="minorBidi"/>
              <w:b w:val="0"/>
              <w:bCs w:val="0"/>
              <w:caps w:val="0"/>
              <w:noProof/>
              <w:sz w:val="24"/>
              <w:szCs w:val="24"/>
            </w:rPr>
          </w:pPr>
          <w:hyperlink w:anchor="_Toc46098151" w:history="1">
            <w:r>
              <w:rPr>
                <w:rStyle w:val="af5"/>
                <w:rFonts w:ascii="宋体" w:hAnsi="宋体"/>
                <w:b w:val="0"/>
                <w:bCs w:val="0"/>
                <w:noProof/>
                <w:color w:val="auto"/>
                <w:sz w:val="24"/>
                <w:szCs w:val="24"/>
              </w:rPr>
              <w:t>二、标准编制原则和确定标准主要内容的依据</w:t>
            </w:r>
            <w:r>
              <w:rPr>
                <w:rFonts w:ascii="宋体" w:hAnsi="宋体"/>
                <w:b w:val="0"/>
                <w:bCs w:val="0"/>
                <w:noProof/>
                <w:sz w:val="24"/>
                <w:szCs w:val="24"/>
              </w:rPr>
              <w:tab/>
            </w:r>
            <w:r>
              <w:rPr>
                <w:rFonts w:ascii="宋体" w:hAnsi="宋体"/>
                <w:b w:val="0"/>
                <w:bCs w:val="0"/>
                <w:noProof/>
                <w:sz w:val="24"/>
                <w:szCs w:val="24"/>
              </w:rPr>
              <w:fldChar w:fldCharType="begin"/>
            </w:r>
            <w:r>
              <w:rPr>
                <w:rFonts w:ascii="宋体" w:hAnsi="宋体"/>
                <w:b w:val="0"/>
                <w:bCs w:val="0"/>
                <w:noProof/>
                <w:sz w:val="24"/>
                <w:szCs w:val="24"/>
              </w:rPr>
              <w:instrText xml:space="preserve"> PAGEREF _Toc46098151 \h </w:instrText>
            </w:r>
            <w:r>
              <w:rPr>
                <w:rFonts w:ascii="宋体" w:hAnsi="宋体"/>
                <w:b w:val="0"/>
                <w:bCs w:val="0"/>
                <w:noProof/>
                <w:sz w:val="24"/>
                <w:szCs w:val="24"/>
              </w:rPr>
            </w:r>
            <w:r>
              <w:rPr>
                <w:rFonts w:ascii="宋体" w:hAnsi="宋体"/>
                <w:b w:val="0"/>
                <w:bCs w:val="0"/>
                <w:noProof/>
                <w:sz w:val="24"/>
                <w:szCs w:val="24"/>
              </w:rPr>
              <w:fldChar w:fldCharType="separate"/>
            </w:r>
            <w:r w:rsidR="002F68AC">
              <w:rPr>
                <w:rFonts w:ascii="宋体" w:hAnsi="宋体"/>
                <w:b w:val="0"/>
                <w:bCs w:val="0"/>
                <w:noProof/>
                <w:sz w:val="24"/>
                <w:szCs w:val="24"/>
              </w:rPr>
              <w:t>4</w:t>
            </w:r>
            <w:r>
              <w:rPr>
                <w:rFonts w:ascii="宋体" w:hAnsi="宋体"/>
                <w:b w:val="0"/>
                <w:bCs w:val="0"/>
                <w:noProof/>
                <w:sz w:val="24"/>
                <w:szCs w:val="24"/>
              </w:rPr>
              <w:fldChar w:fldCharType="end"/>
            </w:r>
          </w:hyperlink>
        </w:p>
        <w:p w14:paraId="567E86BE" w14:textId="30061B8E" w:rsidR="00F028A9" w:rsidRDefault="00000000">
          <w:pPr>
            <w:pStyle w:val="TOC1"/>
            <w:tabs>
              <w:tab w:val="right" w:leader="dot" w:pos="8268"/>
            </w:tabs>
            <w:spacing w:line="360" w:lineRule="auto"/>
            <w:rPr>
              <w:rFonts w:ascii="宋体" w:hAnsi="宋体" w:cstheme="minorBidi"/>
              <w:b w:val="0"/>
              <w:bCs w:val="0"/>
              <w:caps w:val="0"/>
              <w:noProof/>
              <w:sz w:val="24"/>
              <w:szCs w:val="24"/>
            </w:rPr>
          </w:pPr>
          <w:hyperlink w:anchor="_Toc46098152" w:history="1">
            <w:r>
              <w:rPr>
                <w:rStyle w:val="af5"/>
                <w:rFonts w:ascii="宋体" w:hAnsi="宋体"/>
                <w:b w:val="0"/>
                <w:bCs w:val="0"/>
                <w:noProof/>
                <w:color w:val="auto"/>
                <w:sz w:val="24"/>
                <w:szCs w:val="24"/>
              </w:rPr>
              <w:t>三、主要试验（或验证）的分析、综述报告，技术经济论证，预期的经济效果</w:t>
            </w:r>
            <w:r>
              <w:rPr>
                <w:rFonts w:ascii="宋体" w:hAnsi="宋体"/>
                <w:b w:val="0"/>
                <w:bCs w:val="0"/>
                <w:noProof/>
                <w:sz w:val="24"/>
                <w:szCs w:val="24"/>
              </w:rPr>
              <w:tab/>
            </w:r>
            <w:r>
              <w:rPr>
                <w:rFonts w:ascii="宋体" w:hAnsi="宋体"/>
                <w:b w:val="0"/>
                <w:bCs w:val="0"/>
                <w:noProof/>
                <w:sz w:val="24"/>
                <w:szCs w:val="24"/>
              </w:rPr>
              <w:fldChar w:fldCharType="begin"/>
            </w:r>
            <w:r>
              <w:rPr>
                <w:rFonts w:ascii="宋体" w:hAnsi="宋体"/>
                <w:b w:val="0"/>
                <w:bCs w:val="0"/>
                <w:noProof/>
                <w:sz w:val="24"/>
                <w:szCs w:val="24"/>
              </w:rPr>
              <w:instrText xml:space="preserve"> PAGEREF _Toc46098152 \h </w:instrText>
            </w:r>
            <w:r>
              <w:rPr>
                <w:rFonts w:ascii="宋体" w:hAnsi="宋体"/>
                <w:b w:val="0"/>
                <w:bCs w:val="0"/>
                <w:noProof/>
                <w:sz w:val="24"/>
                <w:szCs w:val="24"/>
              </w:rPr>
            </w:r>
            <w:r>
              <w:rPr>
                <w:rFonts w:ascii="宋体" w:hAnsi="宋体"/>
                <w:b w:val="0"/>
                <w:bCs w:val="0"/>
                <w:noProof/>
                <w:sz w:val="24"/>
                <w:szCs w:val="24"/>
              </w:rPr>
              <w:fldChar w:fldCharType="separate"/>
            </w:r>
            <w:r w:rsidR="002F68AC">
              <w:rPr>
                <w:rFonts w:ascii="宋体" w:hAnsi="宋体"/>
                <w:b w:val="0"/>
                <w:bCs w:val="0"/>
                <w:noProof/>
                <w:sz w:val="24"/>
                <w:szCs w:val="24"/>
              </w:rPr>
              <w:t>7</w:t>
            </w:r>
            <w:r>
              <w:rPr>
                <w:rFonts w:ascii="宋体" w:hAnsi="宋体"/>
                <w:b w:val="0"/>
                <w:bCs w:val="0"/>
                <w:noProof/>
                <w:sz w:val="24"/>
                <w:szCs w:val="24"/>
              </w:rPr>
              <w:fldChar w:fldCharType="end"/>
            </w:r>
          </w:hyperlink>
        </w:p>
        <w:p w14:paraId="4F040342" w14:textId="00B31A90" w:rsidR="00F028A9" w:rsidRDefault="00000000">
          <w:pPr>
            <w:pStyle w:val="TOC1"/>
            <w:tabs>
              <w:tab w:val="right" w:leader="dot" w:pos="8268"/>
            </w:tabs>
            <w:spacing w:line="360" w:lineRule="auto"/>
            <w:rPr>
              <w:rFonts w:ascii="宋体" w:hAnsi="宋体" w:cstheme="minorBidi"/>
              <w:b w:val="0"/>
              <w:bCs w:val="0"/>
              <w:caps w:val="0"/>
              <w:noProof/>
              <w:sz w:val="24"/>
              <w:szCs w:val="24"/>
            </w:rPr>
          </w:pPr>
          <w:hyperlink w:anchor="_Toc46098153" w:history="1">
            <w:r>
              <w:rPr>
                <w:rStyle w:val="af5"/>
                <w:rFonts w:ascii="宋体" w:hAnsi="宋体"/>
                <w:b w:val="0"/>
                <w:bCs w:val="0"/>
                <w:noProof/>
                <w:color w:val="auto"/>
                <w:sz w:val="24"/>
                <w:szCs w:val="24"/>
              </w:rPr>
              <w:t>四、采用国际标准和国外先进标准的程度，以及与国际、国外同类标准水平的对比情况，或与测试的国外样品、样机的有关数据对比情况</w:t>
            </w:r>
            <w:r>
              <w:rPr>
                <w:rFonts w:ascii="宋体" w:hAnsi="宋体"/>
                <w:b w:val="0"/>
                <w:bCs w:val="0"/>
                <w:noProof/>
                <w:sz w:val="24"/>
                <w:szCs w:val="24"/>
              </w:rPr>
              <w:tab/>
            </w:r>
            <w:r>
              <w:rPr>
                <w:rFonts w:ascii="宋体" w:hAnsi="宋体"/>
                <w:b w:val="0"/>
                <w:bCs w:val="0"/>
                <w:noProof/>
                <w:sz w:val="24"/>
                <w:szCs w:val="24"/>
              </w:rPr>
              <w:fldChar w:fldCharType="begin"/>
            </w:r>
            <w:r>
              <w:rPr>
                <w:rFonts w:ascii="宋体" w:hAnsi="宋体"/>
                <w:b w:val="0"/>
                <w:bCs w:val="0"/>
                <w:noProof/>
                <w:sz w:val="24"/>
                <w:szCs w:val="24"/>
              </w:rPr>
              <w:instrText xml:space="preserve"> PAGEREF _Toc46098153 \h </w:instrText>
            </w:r>
            <w:r>
              <w:rPr>
                <w:rFonts w:ascii="宋体" w:hAnsi="宋体"/>
                <w:b w:val="0"/>
                <w:bCs w:val="0"/>
                <w:noProof/>
                <w:sz w:val="24"/>
                <w:szCs w:val="24"/>
              </w:rPr>
            </w:r>
            <w:r>
              <w:rPr>
                <w:rFonts w:ascii="宋体" w:hAnsi="宋体"/>
                <w:b w:val="0"/>
                <w:bCs w:val="0"/>
                <w:noProof/>
                <w:sz w:val="24"/>
                <w:szCs w:val="24"/>
              </w:rPr>
              <w:fldChar w:fldCharType="separate"/>
            </w:r>
            <w:r w:rsidR="002F68AC">
              <w:rPr>
                <w:rFonts w:ascii="宋体" w:hAnsi="宋体"/>
                <w:b w:val="0"/>
                <w:bCs w:val="0"/>
                <w:noProof/>
                <w:sz w:val="24"/>
                <w:szCs w:val="24"/>
              </w:rPr>
              <w:t>9</w:t>
            </w:r>
            <w:r>
              <w:rPr>
                <w:rFonts w:ascii="宋体" w:hAnsi="宋体"/>
                <w:b w:val="0"/>
                <w:bCs w:val="0"/>
                <w:noProof/>
                <w:sz w:val="24"/>
                <w:szCs w:val="24"/>
              </w:rPr>
              <w:fldChar w:fldCharType="end"/>
            </w:r>
          </w:hyperlink>
        </w:p>
        <w:p w14:paraId="67FDEBD1" w14:textId="3CB2B1BC" w:rsidR="00F028A9" w:rsidRDefault="00000000">
          <w:pPr>
            <w:pStyle w:val="TOC1"/>
            <w:tabs>
              <w:tab w:val="right" w:leader="dot" w:pos="8268"/>
            </w:tabs>
            <w:spacing w:line="360" w:lineRule="auto"/>
            <w:rPr>
              <w:rFonts w:ascii="宋体" w:hAnsi="宋体" w:cstheme="minorBidi"/>
              <w:b w:val="0"/>
              <w:bCs w:val="0"/>
              <w:caps w:val="0"/>
              <w:noProof/>
              <w:sz w:val="24"/>
              <w:szCs w:val="24"/>
            </w:rPr>
          </w:pPr>
          <w:hyperlink w:anchor="_Toc46098154" w:history="1">
            <w:r>
              <w:rPr>
                <w:rStyle w:val="af5"/>
                <w:rFonts w:ascii="宋体" w:hAnsi="宋体"/>
                <w:b w:val="0"/>
                <w:bCs w:val="0"/>
                <w:noProof/>
                <w:color w:val="auto"/>
                <w:sz w:val="24"/>
                <w:szCs w:val="24"/>
              </w:rPr>
              <w:t>五、与有关的现行法律、法规和强制性标准的关系</w:t>
            </w:r>
            <w:r>
              <w:rPr>
                <w:rFonts w:ascii="宋体" w:hAnsi="宋体"/>
                <w:b w:val="0"/>
                <w:bCs w:val="0"/>
                <w:noProof/>
                <w:sz w:val="24"/>
                <w:szCs w:val="24"/>
              </w:rPr>
              <w:tab/>
            </w:r>
            <w:r>
              <w:rPr>
                <w:rFonts w:ascii="宋体" w:hAnsi="宋体"/>
                <w:b w:val="0"/>
                <w:bCs w:val="0"/>
                <w:noProof/>
                <w:sz w:val="24"/>
                <w:szCs w:val="24"/>
              </w:rPr>
              <w:fldChar w:fldCharType="begin"/>
            </w:r>
            <w:r>
              <w:rPr>
                <w:rFonts w:ascii="宋体" w:hAnsi="宋体"/>
                <w:b w:val="0"/>
                <w:bCs w:val="0"/>
                <w:noProof/>
                <w:sz w:val="24"/>
                <w:szCs w:val="24"/>
              </w:rPr>
              <w:instrText xml:space="preserve"> PAGEREF _Toc46098154 \h </w:instrText>
            </w:r>
            <w:r>
              <w:rPr>
                <w:rFonts w:ascii="宋体" w:hAnsi="宋体"/>
                <w:b w:val="0"/>
                <w:bCs w:val="0"/>
                <w:noProof/>
                <w:sz w:val="24"/>
                <w:szCs w:val="24"/>
              </w:rPr>
            </w:r>
            <w:r>
              <w:rPr>
                <w:rFonts w:ascii="宋体" w:hAnsi="宋体"/>
                <w:b w:val="0"/>
                <w:bCs w:val="0"/>
                <w:noProof/>
                <w:sz w:val="24"/>
                <w:szCs w:val="24"/>
              </w:rPr>
              <w:fldChar w:fldCharType="separate"/>
            </w:r>
            <w:r w:rsidR="002F68AC">
              <w:rPr>
                <w:rFonts w:ascii="宋体" w:hAnsi="宋体"/>
                <w:b w:val="0"/>
                <w:bCs w:val="0"/>
                <w:noProof/>
                <w:sz w:val="24"/>
                <w:szCs w:val="24"/>
              </w:rPr>
              <w:t>9</w:t>
            </w:r>
            <w:r>
              <w:rPr>
                <w:rFonts w:ascii="宋体" w:hAnsi="宋体"/>
                <w:b w:val="0"/>
                <w:bCs w:val="0"/>
                <w:noProof/>
                <w:sz w:val="24"/>
                <w:szCs w:val="24"/>
              </w:rPr>
              <w:fldChar w:fldCharType="end"/>
            </w:r>
          </w:hyperlink>
        </w:p>
        <w:p w14:paraId="134C9FE6" w14:textId="14EA092F" w:rsidR="00F028A9" w:rsidRDefault="00000000">
          <w:pPr>
            <w:pStyle w:val="TOC1"/>
            <w:tabs>
              <w:tab w:val="right" w:leader="dot" w:pos="8268"/>
            </w:tabs>
            <w:spacing w:line="360" w:lineRule="auto"/>
            <w:rPr>
              <w:rFonts w:ascii="宋体" w:hAnsi="宋体" w:cstheme="minorBidi"/>
              <w:b w:val="0"/>
              <w:bCs w:val="0"/>
              <w:caps w:val="0"/>
              <w:noProof/>
              <w:sz w:val="24"/>
              <w:szCs w:val="24"/>
            </w:rPr>
          </w:pPr>
          <w:hyperlink w:anchor="_Toc46098155" w:history="1">
            <w:r>
              <w:rPr>
                <w:rStyle w:val="af5"/>
                <w:rFonts w:ascii="宋体" w:hAnsi="宋体"/>
                <w:b w:val="0"/>
                <w:bCs w:val="0"/>
                <w:noProof/>
                <w:color w:val="auto"/>
                <w:sz w:val="24"/>
                <w:szCs w:val="24"/>
              </w:rPr>
              <w:t>六、重大分歧意见的处理经过和依据</w:t>
            </w:r>
            <w:r>
              <w:rPr>
                <w:rFonts w:ascii="宋体" w:hAnsi="宋体"/>
                <w:b w:val="0"/>
                <w:bCs w:val="0"/>
                <w:noProof/>
                <w:sz w:val="24"/>
                <w:szCs w:val="24"/>
              </w:rPr>
              <w:tab/>
            </w:r>
            <w:r>
              <w:rPr>
                <w:rFonts w:ascii="宋体" w:hAnsi="宋体"/>
                <w:b w:val="0"/>
                <w:bCs w:val="0"/>
                <w:noProof/>
                <w:sz w:val="24"/>
                <w:szCs w:val="24"/>
              </w:rPr>
              <w:fldChar w:fldCharType="begin"/>
            </w:r>
            <w:r>
              <w:rPr>
                <w:rFonts w:ascii="宋体" w:hAnsi="宋体"/>
                <w:b w:val="0"/>
                <w:bCs w:val="0"/>
                <w:noProof/>
                <w:sz w:val="24"/>
                <w:szCs w:val="24"/>
              </w:rPr>
              <w:instrText xml:space="preserve"> PAGEREF _Toc46098155 \h </w:instrText>
            </w:r>
            <w:r>
              <w:rPr>
                <w:rFonts w:ascii="宋体" w:hAnsi="宋体"/>
                <w:b w:val="0"/>
                <w:bCs w:val="0"/>
                <w:noProof/>
                <w:sz w:val="24"/>
                <w:szCs w:val="24"/>
              </w:rPr>
            </w:r>
            <w:r>
              <w:rPr>
                <w:rFonts w:ascii="宋体" w:hAnsi="宋体"/>
                <w:b w:val="0"/>
                <w:bCs w:val="0"/>
                <w:noProof/>
                <w:sz w:val="24"/>
                <w:szCs w:val="24"/>
              </w:rPr>
              <w:fldChar w:fldCharType="separate"/>
            </w:r>
            <w:r w:rsidR="002F68AC">
              <w:rPr>
                <w:rFonts w:ascii="宋体" w:hAnsi="宋体"/>
                <w:b w:val="0"/>
                <w:bCs w:val="0"/>
                <w:noProof/>
                <w:sz w:val="24"/>
                <w:szCs w:val="24"/>
              </w:rPr>
              <w:t>10</w:t>
            </w:r>
            <w:r>
              <w:rPr>
                <w:rFonts w:ascii="宋体" w:hAnsi="宋体"/>
                <w:b w:val="0"/>
                <w:bCs w:val="0"/>
                <w:noProof/>
                <w:sz w:val="24"/>
                <w:szCs w:val="24"/>
              </w:rPr>
              <w:fldChar w:fldCharType="end"/>
            </w:r>
          </w:hyperlink>
        </w:p>
        <w:p w14:paraId="7D9EEE67" w14:textId="0F08BFFA" w:rsidR="00F028A9" w:rsidRDefault="00000000">
          <w:pPr>
            <w:pStyle w:val="TOC1"/>
            <w:tabs>
              <w:tab w:val="right" w:leader="dot" w:pos="8268"/>
            </w:tabs>
            <w:spacing w:line="360" w:lineRule="auto"/>
            <w:rPr>
              <w:rFonts w:ascii="宋体" w:hAnsi="宋体" w:cstheme="minorBidi"/>
              <w:b w:val="0"/>
              <w:bCs w:val="0"/>
              <w:caps w:val="0"/>
              <w:noProof/>
              <w:sz w:val="24"/>
              <w:szCs w:val="24"/>
            </w:rPr>
          </w:pPr>
          <w:hyperlink w:anchor="_Toc46098156" w:history="1">
            <w:r>
              <w:rPr>
                <w:rStyle w:val="af5"/>
                <w:rFonts w:ascii="宋体" w:hAnsi="宋体"/>
                <w:b w:val="0"/>
                <w:bCs w:val="0"/>
                <w:noProof/>
                <w:color w:val="auto"/>
                <w:sz w:val="24"/>
                <w:szCs w:val="24"/>
              </w:rPr>
              <w:t>七、贯彻标准的要求和措施建议（包括组织措施、技术措施、过渡办法等内容）</w:t>
            </w:r>
            <w:r>
              <w:rPr>
                <w:rFonts w:ascii="宋体" w:hAnsi="宋体"/>
                <w:b w:val="0"/>
                <w:bCs w:val="0"/>
                <w:noProof/>
                <w:sz w:val="24"/>
                <w:szCs w:val="24"/>
              </w:rPr>
              <w:tab/>
            </w:r>
            <w:r>
              <w:rPr>
                <w:rFonts w:ascii="宋体" w:hAnsi="宋体"/>
                <w:b w:val="0"/>
                <w:bCs w:val="0"/>
                <w:noProof/>
                <w:sz w:val="24"/>
                <w:szCs w:val="24"/>
              </w:rPr>
              <w:fldChar w:fldCharType="begin"/>
            </w:r>
            <w:r>
              <w:rPr>
                <w:rFonts w:ascii="宋体" w:hAnsi="宋体"/>
                <w:b w:val="0"/>
                <w:bCs w:val="0"/>
                <w:noProof/>
                <w:sz w:val="24"/>
                <w:szCs w:val="24"/>
              </w:rPr>
              <w:instrText xml:space="preserve"> PAGEREF _Toc46098156 \h </w:instrText>
            </w:r>
            <w:r>
              <w:rPr>
                <w:rFonts w:ascii="宋体" w:hAnsi="宋体"/>
                <w:b w:val="0"/>
                <w:bCs w:val="0"/>
                <w:noProof/>
                <w:sz w:val="24"/>
                <w:szCs w:val="24"/>
              </w:rPr>
            </w:r>
            <w:r>
              <w:rPr>
                <w:rFonts w:ascii="宋体" w:hAnsi="宋体"/>
                <w:b w:val="0"/>
                <w:bCs w:val="0"/>
                <w:noProof/>
                <w:sz w:val="24"/>
                <w:szCs w:val="24"/>
              </w:rPr>
              <w:fldChar w:fldCharType="separate"/>
            </w:r>
            <w:r w:rsidR="002F68AC">
              <w:rPr>
                <w:rFonts w:ascii="宋体" w:hAnsi="宋体"/>
                <w:b w:val="0"/>
                <w:bCs w:val="0"/>
                <w:noProof/>
                <w:sz w:val="24"/>
                <w:szCs w:val="24"/>
              </w:rPr>
              <w:t>10</w:t>
            </w:r>
            <w:r>
              <w:rPr>
                <w:rFonts w:ascii="宋体" w:hAnsi="宋体"/>
                <w:b w:val="0"/>
                <w:bCs w:val="0"/>
                <w:noProof/>
                <w:sz w:val="24"/>
                <w:szCs w:val="24"/>
              </w:rPr>
              <w:fldChar w:fldCharType="end"/>
            </w:r>
          </w:hyperlink>
        </w:p>
        <w:p w14:paraId="552CD9EE" w14:textId="2C2C8EAD" w:rsidR="00F028A9" w:rsidRDefault="00000000">
          <w:pPr>
            <w:pStyle w:val="TOC1"/>
            <w:tabs>
              <w:tab w:val="right" w:leader="dot" w:pos="8268"/>
            </w:tabs>
            <w:spacing w:line="360" w:lineRule="auto"/>
            <w:rPr>
              <w:rFonts w:ascii="宋体" w:hAnsi="宋体" w:cstheme="minorBidi"/>
              <w:b w:val="0"/>
              <w:bCs w:val="0"/>
              <w:caps w:val="0"/>
              <w:noProof/>
              <w:sz w:val="24"/>
              <w:szCs w:val="24"/>
            </w:rPr>
          </w:pPr>
          <w:hyperlink w:anchor="_Toc46098157" w:history="1">
            <w:r>
              <w:rPr>
                <w:rStyle w:val="af5"/>
                <w:rFonts w:ascii="宋体" w:hAnsi="宋体"/>
                <w:b w:val="0"/>
                <w:bCs w:val="0"/>
                <w:noProof/>
                <w:color w:val="auto"/>
                <w:sz w:val="24"/>
                <w:szCs w:val="24"/>
              </w:rPr>
              <w:t>八、废止现行有关标准的建议</w:t>
            </w:r>
            <w:r>
              <w:rPr>
                <w:rFonts w:ascii="宋体" w:hAnsi="宋体"/>
                <w:b w:val="0"/>
                <w:bCs w:val="0"/>
                <w:noProof/>
                <w:sz w:val="24"/>
                <w:szCs w:val="24"/>
              </w:rPr>
              <w:tab/>
            </w:r>
            <w:r>
              <w:rPr>
                <w:rFonts w:ascii="宋体" w:hAnsi="宋体"/>
                <w:b w:val="0"/>
                <w:bCs w:val="0"/>
                <w:noProof/>
                <w:sz w:val="24"/>
                <w:szCs w:val="24"/>
              </w:rPr>
              <w:fldChar w:fldCharType="begin"/>
            </w:r>
            <w:r>
              <w:rPr>
                <w:rFonts w:ascii="宋体" w:hAnsi="宋体"/>
                <w:b w:val="0"/>
                <w:bCs w:val="0"/>
                <w:noProof/>
                <w:sz w:val="24"/>
                <w:szCs w:val="24"/>
              </w:rPr>
              <w:instrText xml:space="preserve"> PAGEREF _Toc46098157 \h </w:instrText>
            </w:r>
            <w:r>
              <w:rPr>
                <w:rFonts w:ascii="宋体" w:hAnsi="宋体"/>
                <w:b w:val="0"/>
                <w:bCs w:val="0"/>
                <w:noProof/>
                <w:sz w:val="24"/>
                <w:szCs w:val="24"/>
              </w:rPr>
            </w:r>
            <w:r>
              <w:rPr>
                <w:rFonts w:ascii="宋体" w:hAnsi="宋体"/>
                <w:b w:val="0"/>
                <w:bCs w:val="0"/>
                <w:noProof/>
                <w:sz w:val="24"/>
                <w:szCs w:val="24"/>
              </w:rPr>
              <w:fldChar w:fldCharType="separate"/>
            </w:r>
            <w:r w:rsidR="002F68AC">
              <w:rPr>
                <w:rFonts w:ascii="宋体" w:hAnsi="宋体"/>
                <w:b w:val="0"/>
                <w:bCs w:val="0"/>
                <w:noProof/>
                <w:sz w:val="24"/>
                <w:szCs w:val="24"/>
              </w:rPr>
              <w:t>11</w:t>
            </w:r>
            <w:r>
              <w:rPr>
                <w:rFonts w:ascii="宋体" w:hAnsi="宋体"/>
                <w:b w:val="0"/>
                <w:bCs w:val="0"/>
                <w:noProof/>
                <w:sz w:val="24"/>
                <w:szCs w:val="24"/>
              </w:rPr>
              <w:fldChar w:fldCharType="end"/>
            </w:r>
          </w:hyperlink>
        </w:p>
        <w:p w14:paraId="34B16AAF" w14:textId="561BE27C" w:rsidR="00F028A9" w:rsidRDefault="00000000">
          <w:pPr>
            <w:pStyle w:val="TOC1"/>
            <w:tabs>
              <w:tab w:val="right" w:leader="dot" w:pos="8268"/>
            </w:tabs>
            <w:spacing w:line="360" w:lineRule="auto"/>
            <w:rPr>
              <w:rFonts w:ascii="宋体" w:hAnsi="宋体" w:cstheme="minorBidi"/>
              <w:b w:val="0"/>
              <w:bCs w:val="0"/>
              <w:caps w:val="0"/>
              <w:noProof/>
              <w:sz w:val="24"/>
              <w:szCs w:val="24"/>
            </w:rPr>
          </w:pPr>
          <w:hyperlink w:anchor="_Toc46098158" w:history="1">
            <w:r>
              <w:rPr>
                <w:rStyle w:val="af5"/>
                <w:rFonts w:ascii="宋体" w:hAnsi="宋体"/>
                <w:b w:val="0"/>
                <w:bCs w:val="0"/>
                <w:noProof/>
                <w:color w:val="auto"/>
                <w:sz w:val="24"/>
                <w:szCs w:val="24"/>
              </w:rPr>
              <w:t>九、其他应予说明的事项</w:t>
            </w:r>
            <w:r>
              <w:rPr>
                <w:rFonts w:ascii="宋体" w:hAnsi="宋体"/>
                <w:b w:val="0"/>
                <w:bCs w:val="0"/>
                <w:noProof/>
                <w:sz w:val="24"/>
                <w:szCs w:val="24"/>
              </w:rPr>
              <w:tab/>
            </w:r>
            <w:r>
              <w:rPr>
                <w:rFonts w:ascii="宋体" w:hAnsi="宋体"/>
                <w:b w:val="0"/>
                <w:bCs w:val="0"/>
                <w:noProof/>
                <w:sz w:val="24"/>
                <w:szCs w:val="24"/>
              </w:rPr>
              <w:fldChar w:fldCharType="begin"/>
            </w:r>
            <w:r>
              <w:rPr>
                <w:rFonts w:ascii="宋体" w:hAnsi="宋体"/>
                <w:b w:val="0"/>
                <w:bCs w:val="0"/>
                <w:noProof/>
                <w:sz w:val="24"/>
                <w:szCs w:val="24"/>
              </w:rPr>
              <w:instrText xml:space="preserve"> PAGEREF _Toc46098158 \h </w:instrText>
            </w:r>
            <w:r>
              <w:rPr>
                <w:rFonts w:ascii="宋体" w:hAnsi="宋体"/>
                <w:b w:val="0"/>
                <w:bCs w:val="0"/>
                <w:noProof/>
                <w:sz w:val="24"/>
                <w:szCs w:val="24"/>
              </w:rPr>
            </w:r>
            <w:r>
              <w:rPr>
                <w:rFonts w:ascii="宋体" w:hAnsi="宋体"/>
                <w:b w:val="0"/>
                <w:bCs w:val="0"/>
                <w:noProof/>
                <w:sz w:val="24"/>
                <w:szCs w:val="24"/>
              </w:rPr>
              <w:fldChar w:fldCharType="separate"/>
            </w:r>
            <w:r w:rsidR="002F68AC">
              <w:rPr>
                <w:rFonts w:ascii="宋体" w:hAnsi="宋体"/>
                <w:b w:val="0"/>
                <w:bCs w:val="0"/>
                <w:noProof/>
                <w:sz w:val="24"/>
                <w:szCs w:val="24"/>
              </w:rPr>
              <w:t>11</w:t>
            </w:r>
            <w:r>
              <w:rPr>
                <w:rFonts w:ascii="宋体" w:hAnsi="宋体"/>
                <w:b w:val="0"/>
                <w:bCs w:val="0"/>
                <w:noProof/>
                <w:sz w:val="24"/>
                <w:szCs w:val="24"/>
              </w:rPr>
              <w:fldChar w:fldCharType="end"/>
            </w:r>
          </w:hyperlink>
        </w:p>
        <w:p w14:paraId="155692A5" w14:textId="77777777" w:rsidR="00F028A9" w:rsidRDefault="00000000">
          <w:pPr>
            <w:spacing w:line="360" w:lineRule="auto"/>
            <w:rPr>
              <w:rFonts w:ascii="宋体" w:hAnsi="宋体"/>
              <w:sz w:val="24"/>
              <w:szCs w:val="24"/>
            </w:rPr>
          </w:pPr>
          <w:r>
            <w:rPr>
              <w:rFonts w:ascii="宋体" w:hAnsi="宋体"/>
              <w:sz w:val="24"/>
              <w:szCs w:val="24"/>
            </w:rPr>
            <w:fldChar w:fldCharType="end"/>
          </w:r>
        </w:p>
      </w:sdtContent>
    </w:sdt>
    <w:p w14:paraId="354479F7" w14:textId="77777777" w:rsidR="00F028A9" w:rsidRDefault="00F028A9">
      <w:pPr>
        <w:spacing w:line="360" w:lineRule="auto"/>
        <w:rPr>
          <w:rFonts w:ascii="黑体" w:eastAsia="黑体" w:hAnsi="黑体"/>
          <w:szCs w:val="21"/>
        </w:rPr>
        <w:sectPr w:rsidR="00F028A9">
          <w:footerReference w:type="default" r:id="rId14"/>
          <w:pgSz w:w="11906" w:h="16838"/>
          <w:pgMar w:top="1588" w:right="1814" w:bottom="1588" w:left="1814" w:header="851" w:footer="992" w:gutter="0"/>
          <w:cols w:space="425"/>
          <w:titlePg/>
          <w:docGrid w:type="lines" w:linePitch="312"/>
        </w:sectPr>
      </w:pPr>
    </w:p>
    <w:p w14:paraId="1F07D126" w14:textId="77777777" w:rsidR="00F028A9" w:rsidRDefault="00000000">
      <w:pPr>
        <w:spacing w:beforeLines="50" w:before="156" w:line="360" w:lineRule="auto"/>
        <w:outlineLvl w:val="0"/>
        <w:rPr>
          <w:rFonts w:asciiTheme="minorEastAsia" w:eastAsiaTheme="minorEastAsia" w:hAnsiTheme="minorEastAsia"/>
          <w:b/>
          <w:sz w:val="24"/>
          <w:szCs w:val="24"/>
        </w:rPr>
      </w:pPr>
      <w:bookmarkStart w:id="0" w:name="_Toc46098150"/>
      <w:bookmarkStart w:id="1" w:name="_Toc483660122"/>
      <w:bookmarkStart w:id="2" w:name="_Toc89252253"/>
      <w:r>
        <w:rPr>
          <w:rFonts w:asciiTheme="minorEastAsia" w:eastAsiaTheme="minorEastAsia" w:hAnsiTheme="minorEastAsia" w:hint="eastAsia"/>
          <w:b/>
          <w:sz w:val="24"/>
          <w:szCs w:val="24"/>
        </w:rPr>
        <w:lastRenderedPageBreak/>
        <w:t>一、工</w:t>
      </w:r>
      <w:r>
        <w:rPr>
          <w:rFonts w:asciiTheme="minorEastAsia" w:eastAsiaTheme="minorEastAsia" w:hAnsiTheme="minorEastAsia" w:cs="Arial"/>
          <w:b/>
          <w:sz w:val="24"/>
          <w:szCs w:val="24"/>
        </w:rPr>
        <w:t>作简况</w:t>
      </w:r>
      <w:bookmarkEnd w:id="0"/>
      <w:bookmarkEnd w:id="1"/>
    </w:p>
    <w:p w14:paraId="09EF5F2C" w14:textId="77777777" w:rsidR="00F028A9" w:rsidRDefault="00000000">
      <w:pPr>
        <w:spacing w:beforeLines="50" w:before="156" w:line="360" w:lineRule="auto"/>
        <w:outlineLvl w:val="1"/>
        <w:rPr>
          <w:rFonts w:asciiTheme="minorEastAsia" w:eastAsiaTheme="minorEastAsia" w:hAnsiTheme="minorEastAsia"/>
          <w:b/>
          <w:sz w:val="24"/>
          <w:szCs w:val="24"/>
        </w:rPr>
      </w:pPr>
      <w:bookmarkStart w:id="3" w:name="_Toc483660123"/>
      <w:bookmarkStart w:id="4" w:name="_Toc26972780"/>
      <w:r>
        <w:rPr>
          <w:rFonts w:asciiTheme="minorEastAsia" w:eastAsiaTheme="minorEastAsia" w:hAnsiTheme="minorEastAsia" w:hint="eastAsia"/>
          <w:b/>
          <w:sz w:val="24"/>
          <w:szCs w:val="24"/>
        </w:rPr>
        <w:t>（一）任务来源</w:t>
      </w:r>
      <w:bookmarkEnd w:id="2"/>
      <w:bookmarkEnd w:id="3"/>
      <w:bookmarkEnd w:id="4"/>
    </w:p>
    <w:p w14:paraId="3F22CF96" w14:textId="77777777" w:rsidR="00F028A9" w:rsidRDefault="00000000">
      <w:pPr>
        <w:spacing w:beforeLines="50" w:before="156" w:line="360" w:lineRule="auto"/>
        <w:ind w:firstLine="435"/>
        <w:jc w:val="left"/>
        <w:rPr>
          <w:rFonts w:asciiTheme="minorEastAsia" w:eastAsiaTheme="minorEastAsia" w:hAnsiTheme="minorEastAsia"/>
          <w:sz w:val="24"/>
          <w:szCs w:val="24"/>
        </w:rPr>
      </w:pPr>
      <w:r>
        <w:rPr>
          <w:rFonts w:asciiTheme="minorEastAsia" w:eastAsiaTheme="minorEastAsia" w:hAnsiTheme="minorEastAsia" w:hint="eastAsia"/>
          <w:sz w:val="24"/>
          <w:szCs w:val="24"/>
        </w:rPr>
        <w:t>团体标准《集装箱码头自动驾驶车辆路径导航数据交互技术要求》是根据</w:t>
      </w:r>
      <w:r>
        <w:rPr>
          <w:rFonts w:asciiTheme="minorEastAsia" w:eastAsiaTheme="minorEastAsia" w:hAnsiTheme="minorEastAsia"/>
          <w:sz w:val="24"/>
          <w:szCs w:val="24"/>
        </w:rPr>
        <w:t>202</w:t>
      </w:r>
      <w:r>
        <w:rPr>
          <w:rFonts w:asciiTheme="minorEastAsia" w:eastAsiaTheme="minorEastAsia" w:hAnsiTheme="minorEastAsia" w:hint="eastAsia"/>
          <w:sz w:val="24"/>
          <w:szCs w:val="24"/>
        </w:rPr>
        <w:t>5年中国港口协会团体标准工作计划安排，由</w:t>
      </w:r>
      <w:r>
        <w:rPr>
          <w:rFonts w:ascii="宋体" w:hint="eastAsia"/>
          <w:sz w:val="24"/>
          <w:szCs w:val="24"/>
        </w:rPr>
        <w:t>天津港第二集装箱码头有限公司</w:t>
      </w:r>
      <w:r>
        <w:rPr>
          <w:rFonts w:asciiTheme="minorEastAsia" w:eastAsiaTheme="minorEastAsia" w:hAnsiTheme="minorEastAsia" w:hint="eastAsia"/>
          <w:sz w:val="24"/>
          <w:szCs w:val="24"/>
        </w:rPr>
        <w:t>牵头起草。</w:t>
      </w:r>
    </w:p>
    <w:p w14:paraId="3582749A" w14:textId="77777777" w:rsidR="00F028A9" w:rsidRDefault="00000000">
      <w:pPr>
        <w:spacing w:beforeLines="50" w:before="156" w:line="360" w:lineRule="auto"/>
        <w:outlineLvl w:val="1"/>
        <w:rPr>
          <w:rFonts w:asciiTheme="minorEastAsia" w:eastAsiaTheme="minorEastAsia" w:hAnsiTheme="minorEastAsia"/>
          <w:b/>
          <w:sz w:val="24"/>
          <w:szCs w:val="24"/>
        </w:rPr>
      </w:pPr>
      <w:bookmarkStart w:id="5" w:name="_Toc26972781"/>
      <w:r>
        <w:rPr>
          <w:rFonts w:asciiTheme="minorEastAsia" w:eastAsiaTheme="minorEastAsia" w:hAnsiTheme="minorEastAsia" w:hint="eastAsia"/>
          <w:b/>
          <w:sz w:val="24"/>
          <w:szCs w:val="24"/>
        </w:rPr>
        <w:t>（二）起草单位</w:t>
      </w:r>
      <w:bookmarkEnd w:id="5"/>
    </w:p>
    <w:p w14:paraId="68BFF9E1" w14:textId="2C9E6626" w:rsidR="00F028A9" w:rsidRDefault="00000000">
      <w:pPr>
        <w:spacing w:beforeLines="50" w:before="156" w:line="360" w:lineRule="auto"/>
        <w:ind w:firstLine="435"/>
        <w:jc w:val="left"/>
        <w:rPr>
          <w:rFonts w:ascii="黑体" w:eastAsia="黑体" w:hAnsi="黑体"/>
          <w:sz w:val="24"/>
          <w:szCs w:val="24"/>
        </w:rPr>
      </w:pPr>
      <w:r>
        <w:rPr>
          <w:rFonts w:ascii="宋体" w:hint="eastAsia"/>
          <w:sz w:val="24"/>
          <w:szCs w:val="24"/>
        </w:rPr>
        <w:t>标准编写主要由天津港第二集装箱码头有限公司负责、协作单位主要为</w:t>
      </w:r>
      <w:r>
        <w:rPr>
          <w:rFonts w:asciiTheme="minorEastAsia" w:eastAsiaTheme="minorEastAsia" w:hAnsiTheme="minorEastAsia" w:hint="eastAsia"/>
          <w:sz w:val="24"/>
          <w:szCs w:val="24"/>
        </w:rPr>
        <w:t>上海海事大学、华为技术有限公司、华海智汇技术有限公司</w:t>
      </w:r>
      <w:r w:rsidR="005A1169">
        <w:rPr>
          <w:rFonts w:asciiTheme="minorEastAsia" w:eastAsiaTheme="minorEastAsia" w:hAnsiTheme="minorEastAsia" w:hint="eastAsia"/>
          <w:sz w:val="24"/>
          <w:szCs w:val="24"/>
        </w:rPr>
        <w:t>、</w:t>
      </w:r>
      <w:r w:rsidR="005A1169" w:rsidRPr="005A1169">
        <w:rPr>
          <w:rFonts w:asciiTheme="minorEastAsia" w:eastAsiaTheme="minorEastAsia" w:hAnsiTheme="minorEastAsia" w:hint="eastAsia"/>
          <w:sz w:val="24"/>
          <w:szCs w:val="24"/>
        </w:rPr>
        <w:t>浙江智港通科技有限公司</w:t>
      </w:r>
      <w:r>
        <w:rPr>
          <w:rFonts w:ascii="宋体" w:hint="eastAsia"/>
          <w:sz w:val="24"/>
          <w:szCs w:val="24"/>
        </w:rPr>
        <w:t>。</w:t>
      </w:r>
    </w:p>
    <w:p w14:paraId="27E226F3" w14:textId="77777777" w:rsidR="00F028A9" w:rsidRDefault="00000000">
      <w:pPr>
        <w:spacing w:beforeLines="50" w:before="156" w:line="360" w:lineRule="auto"/>
        <w:outlineLvl w:val="1"/>
        <w:rPr>
          <w:rFonts w:asciiTheme="minorEastAsia" w:eastAsiaTheme="minorEastAsia" w:hAnsiTheme="minorEastAsia"/>
          <w:b/>
          <w:sz w:val="24"/>
          <w:szCs w:val="24"/>
        </w:rPr>
      </w:pPr>
      <w:bookmarkStart w:id="6" w:name="_Toc26972782"/>
      <w:r>
        <w:rPr>
          <w:rFonts w:asciiTheme="minorEastAsia" w:eastAsiaTheme="minorEastAsia" w:hAnsiTheme="minorEastAsia" w:hint="eastAsia"/>
          <w:b/>
          <w:sz w:val="24"/>
          <w:szCs w:val="24"/>
        </w:rPr>
        <w:t>（三）主要起草人及其所做的工作</w:t>
      </w:r>
      <w:bookmarkEnd w:id="6"/>
    </w:p>
    <w:p w14:paraId="29FCF592" w14:textId="77777777" w:rsidR="00F028A9" w:rsidRDefault="00000000">
      <w:pPr>
        <w:spacing w:beforeLines="50" w:before="156" w:line="360" w:lineRule="auto"/>
        <w:ind w:firstLine="435"/>
        <w:jc w:val="left"/>
        <w:rPr>
          <w:rFonts w:ascii="宋体"/>
          <w:sz w:val="24"/>
          <w:szCs w:val="24"/>
        </w:rPr>
      </w:pPr>
      <w:r>
        <w:rPr>
          <w:rFonts w:ascii="宋体" w:hint="eastAsia"/>
          <w:sz w:val="24"/>
          <w:szCs w:val="24"/>
        </w:rPr>
        <w:t>标准主要起草人有杨荣、任伟、班宏宇、刘喜旺、高延辉、蒋天丽、冯淼、陈培、武彬、宁为玉、徐哲、林祥宇、郑恭楷、赵宁、沈一帆、田丁、原辉、赵志云。</w:t>
      </w:r>
    </w:p>
    <w:p w14:paraId="6865ABD7" w14:textId="77777777" w:rsidR="00F028A9" w:rsidRDefault="00000000">
      <w:pPr>
        <w:spacing w:beforeLines="50" w:before="156" w:line="360" w:lineRule="auto"/>
        <w:ind w:firstLine="435"/>
        <w:jc w:val="left"/>
        <w:rPr>
          <w:rFonts w:ascii="宋体"/>
          <w:sz w:val="24"/>
          <w:szCs w:val="24"/>
        </w:rPr>
      </w:pPr>
      <w:r>
        <w:rPr>
          <w:rFonts w:ascii="宋体" w:hint="eastAsia"/>
          <w:sz w:val="24"/>
          <w:szCs w:val="24"/>
        </w:rPr>
        <w:t>起草人任务分工见表1。</w:t>
      </w:r>
    </w:p>
    <w:p w14:paraId="1F7E5417" w14:textId="77777777" w:rsidR="00F028A9" w:rsidRDefault="00000000">
      <w:pPr>
        <w:spacing w:beforeLines="50" w:before="156" w:line="360" w:lineRule="auto"/>
        <w:jc w:val="center"/>
        <w:rPr>
          <w:rFonts w:ascii="黑体" w:eastAsia="黑体" w:hAnsi="黑体"/>
          <w:sz w:val="24"/>
          <w:szCs w:val="24"/>
        </w:rPr>
      </w:pPr>
      <w:r>
        <w:rPr>
          <w:rFonts w:ascii="黑体" w:eastAsia="黑体" w:hAnsi="黑体" w:hint="eastAsia"/>
          <w:sz w:val="24"/>
          <w:szCs w:val="24"/>
        </w:rPr>
        <w:t>表1 标准主要起草人任务分工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746"/>
        <w:gridCol w:w="2042"/>
        <w:gridCol w:w="1145"/>
        <w:gridCol w:w="2548"/>
      </w:tblGrid>
      <w:tr w:rsidR="00F028A9" w14:paraId="77EEE235" w14:textId="77777777">
        <w:tc>
          <w:tcPr>
            <w:tcW w:w="596" w:type="pct"/>
          </w:tcPr>
          <w:p w14:paraId="4C6CA8EE" w14:textId="77777777" w:rsidR="00F028A9" w:rsidRDefault="00000000">
            <w:pPr>
              <w:spacing w:beforeLines="50" w:before="156"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姓名</w:t>
            </w:r>
          </w:p>
        </w:tc>
        <w:tc>
          <w:tcPr>
            <w:tcW w:w="1028" w:type="pct"/>
          </w:tcPr>
          <w:p w14:paraId="7F99A399" w14:textId="77777777" w:rsidR="00F028A9" w:rsidRDefault="00000000">
            <w:pPr>
              <w:spacing w:beforeLines="50" w:before="156" w:line="360" w:lineRule="auto"/>
              <w:ind w:firstLine="435"/>
              <w:jc w:val="left"/>
              <w:rPr>
                <w:rFonts w:asciiTheme="minorEastAsia" w:eastAsiaTheme="minorEastAsia" w:hAnsiTheme="minorEastAsia"/>
                <w:szCs w:val="21"/>
              </w:rPr>
            </w:pPr>
            <w:r>
              <w:rPr>
                <w:rFonts w:asciiTheme="minorEastAsia" w:eastAsiaTheme="minorEastAsia" w:hAnsiTheme="minorEastAsia" w:hint="eastAsia"/>
                <w:szCs w:val="21"/>
              </w:rPr>
              <w:t>单  位</w:t>
            </w:r>
          </w:p>
        </w:tc>
        <w:tc>
          <w:tcPr>
            <w:tcW w:w="1202" w:type="pct"/>
          </w:tcPr>
          <w:p w14:paraId="44262F6D" w14:textId="77777777" w:rsidR="00F028A9" w:rsidRDefault="00000000">
            <w:pPr>
              <w:spacing w:beforeLines="50" w:before="156" w:line="360" w:lineRule="auto"/>
              <w:ind w:firstLine="435"/>
              <w:jc w:val="left"/>
              <w:rPr>
                <w:rFonts w:asciiTheme="minorEastAsia" w:eastAsiaTheme="minorEastAsia" w:hAnsiTheme="minorEastAsia"/>
                <w:szCs w:val="21"/>
              </w:rPr>
            </w:pPr>
            <w:r>
              <w:rPr>
                <w:rFonts w:asciiTheme="minorEastAsia" w:eastAsiaTheme="minorEastAsia" w:hAnsiTheme="minorEastAsia" w:hint="eastAsia"/>
                <w:szCs w:val="21"/>
              </w:rPr>
              <w:t>职务、职称</w:t>
            </w:r>
          </w:p>
        </w:tc>
        <w:tc>
          <w:tcPr>
            <w:tcW w:w="674" w:type="pct"/>
          </w:tcPr>
          <w:p w14:paraId="07F63268" w14:textId="77777777" w:rsidR="00F028A9" w:rsidRDefault="00000000">
            <w:pPr>
              <w:spacing w:beforeLines="50" w:before="156"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项目职务</w:t>
            </w:r>
          </w:p>
        </w:tc>
        <w:tc>
          <w:tcPr>
            <w:tcW w:w="1500" w:type="pct"/>
          </w:tcPr>
          <w:p w14:paraId="0AF8700A"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分    工</w:t>
            </w:r>
          </w:p>
        </w:tc>
      </w:tr>
      <w:tr w:rsidR="00F028A9" w14:paraId="0340F421" w14:textId="77777777" w:rsidTr="005A1169">
        <w:tc>
          <w:tcPr>
            <w:tcW w:w="596" w:type="pct"/>
            <w:vAlign w:val="center"/>
          </w:tcPr>
          <w:p w14:paraId="2268FC66" w14:textId="77777777" w:rsidR="00F028A9" w:rsidRDefault="00000000">
            <w:pPr>
              <w:pStyle w:val="af8"/>
              <w:spacing w:line="240" w:lineRule="auto"/>
              <w:rPr>
                <w:rFonts w:asciiTheme="minorEastAsia" w:eastAsiaTheme="minorEastAsia" w:hAnsiTheme="minorEastAsia"/>
                <w:kern w:val="2"/>
                <w:szCs w:val="21"/>
              </w:rPr>
            </w:pPr>
            <w:r>
              <w:rPr>
                <w:rFonts w:asciiTheme="minorEastAsia" w:eastAsiaTheme="minorEastAsia" w:hAnsiTheme="minorEastAsia" w:hint="eastAsia"/>
                <w:kern w:val="2"/>
                <w:szCs w:val="21"/>
              </w:rPr>
              <w:t>杨荣</w:t>
            </w:r>
          </w:p>
        </w:tc>
        <w:tc>
          <w:tcPr>
            <w:tcW w:w="1028" w:type="pct"/>
            <w:vAlign w:val="center"/>
          </w:tcPr>
          <w:p w14:paraId="30A7932C" w14:textId="77777777" w:rsidR="00F028A9" w:rsidRDefault="00000000">
            <w:pPr>
              <w:pStyle w:val="af8"/>
              <w:spacing w:line="240" w:lineRule="auto"/>
              <w:rPr>
                <w:rFonts w:asciiTheme="minorEastAsia" w:eastAsiaTheme="minorEastAsia" w:hAnsiTheme="minorEastAsia"/>
                <w:kern w:val="2"/>
                <w:szCs w:val="21"/>
              </w:rPr>
            </w:pPr>
            <w:r>
              <w:rPr>
                <w:rFonts w:asciiTheme="minorEastAsia" w:eastAsiaTheme="minorEastAsia" w:hAnsiTheme="minorEastAsia" w:hint="eastAsia"/>
                <w:kern w:val="2"/>
                <w:szCs w:val="21"/>
              </w:rPr>
              <w:t>天津港集团有限公司</w:t>
            </w:r>
          </w:p>
        </w:tc>
        <w:tc>
          <w:tcPr>
            <w:tcW w:w="1202" w:type="pct"/>
            <w:vAlign w:val="center"/>
          </w:tcPr>
          <w:p w14:paraId="27C5C8B7" w14:textId="77777777" w:rsidR="00F028A9" w:rsidRDefault="00000000">
            <w:pPr>
              <w:pStyle w:val="af8"/>
              <w:spacing w:line="240" w:lineRule="auto"/>
              <w:rPr>
                <w:rFonts w:asciiTheme="minorEastAsia" w:eastAsiaTheme="minorEastAsia" w:hAnsiTheme="minorEastAsia"/>
                <w:kern w:val="2"/>
                <w:szCs w:val="21"/>
              </w:rPr>
            </w:pPr>
            <w:r>
              <w:rPr>
                <w:rFonts w:asciiTheme="minorEastAsia" w:eastAsiaTheme="minorEastAsia" w:hAnsiTheme="minorEastAsia" w:hint="eastAsia"/>
                <w:kern w:val="2"/>
                <w:szCs w:val="21"/>
              </w:rPr>
              <w:t>正高级工程师/总工程师</w:t>
            </w:r>
          </w:p>
        </w:tc>
        <w:tc>
          <w:tcPr>
            <w:tcW w:w="674" w:type="pct"/>
            <w:vAlign w:val="center"/>
          </w:tcPr>
          <w:p w14:paraId="69B1E421"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组长</w:t>
            </w:r>
          </w:p>
        </w:tc>
        <w:tc>
          <w:tcPr>
            <w:tcW w:w="1500" w:type="pct"/>
            <w:vAlign w:val="center"/>
          </w:tcPr>
          <w:p w14:paraId="6889A30C" w14:textId="77777777" w:rsidR="00F028A9" w:rsidRDefault="00000000">
            <w:pPr>
              <w:spacing w:beforeLines="50" w:before="156"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标准编制总负责，第4章节的编写，审核相关技术；标准全文修辞与英文审核。</w:t>
            </w:r>
          </w:p>
        </w:tc>
      </w:tr>
      <w:tr w:rsidR="00F028A9" w14:paraId="53B2EFBD" w14:textId="77777777" w:rsidTr="005A1169">
        <w:tc>
          <w:tcPr>
            <w:tcW w:w="596" w:type="pct"/>
            <w:vAlign w:val="center"/>
          </w:tcPr>
          <w:p w14:paraId="6DE2579F"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任伟</w:t>
            </w:r>
          </w:p>
        </w:tc>
        <w:tc>
          <w:tcPr>
            <w:tcW w:w="1028" w:type="pct"/>
            <w:vAlign w:val="center"/>
          </w:tcPr>
          <w:p w14:paraId="1F487377"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天津港第二集装箱码头有限公司</w:t>
            </w:r>
          </w:p>
        </w:tc>
        <w:tc>
          <w:tcPr>
            <w:tcW w:w="1202" w:type="pct"/>
            <w:vAlign w:val="center"/>
          </w:tcPr>
          <w:p w14:paraId="39825AA5"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经济师/总经理</w:t>
            </w:r>
          </w:p>
        </w:tc>
        <w:tc>
          <w:tcPr>
            <w:tcW w:w="674" w:type="pct"/>
            <w:vAlign w:val="center"/>
          </w:tcPr>
          <w:p w14:paraId="58DC518B"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17312707"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第1～3章节的编写，标准的术语定义审核。</w:t>
            </w:r>
          </w:p>
        </w:tc>
      </w:tr>
      <w:tr w:rsidR="00F028A9" w14:paraId="16F460EE" w14:textId="77777777" w:rsidTr="005A1169">
        <w:tc>
          <w:tcPr>
            <w:tcW w:w="596" w:type="pct"/>
            <w:vAlign w:val="center"/>
          </w:tcPr>
          <w:p w14:paraId="12A40858"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班宏宇</w:t>
            </w:r>
          </w:p>
        </w:tc>
        <w:tc>
          <w:tcPr>
            <w:tcW w:w="1028" w:type="pct"/>
            <w:vAlign w:val="center"/>
          </w:tcPr>
          <w:p w14:paraId="39E0D3E9"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天津港第二集装箱码头有限公司</w:t>
            </w:r>
          </w:p>
        </w:tc>
        <w:tc>
          <w:tcPr>
            <w:tcW w:w="1202" w:type="pct"/>
            <w:vAlign w:val="center"/>
          </w:tcPr>
          <w:p w14:paraId="012E777A"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高级工程师/信息部副经理</w:t>
            </w:r>
          </w:p>
        </w:tc>
        <w:tc>
          <w:tcPr>
            <w:tcW w:w="674" w:type="pct"/>
            <w:vAlign w:val="center"/>
          </w:tcPr>
          <w:p w14:paraId="6EAA3106"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1227ABBE"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文献资料检索、编写的调研，第7章节的编写及相</w:t>
            </w:r>
            <w:r>
              <w:rPr>
                <w:rFonts w:asciiTheme="minorEastAsia" w:eastAsiaTheme="minorEastAsia" w:hAnsiTheme="minorEastAsia" w:hint="eastAsia"/>
                <w:szCs w:val="21"/>
              </w:rPr>
              <w:lastRenderedPageBreak/>
              <w:t>关技术论证。</w:t>
            </w:r>
          </w:p>
        </w:tc>
      </w:tr>
      <w:tr w:rsidR="00F028A9" w14:paraId="21B513EC" w14:textId="77777777" w:rsidTr="005A1169">
        <w:tc>
          <w:tcPr>
            <w:tcW w:w="596" w:type="pct"/>
            <w:vAlign w:val="center"/>
          </w:tcPr>
          <w:p w14:paraId="38375A2F"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刘喜旺</w:t>
            </w:r>
          </w:p>
        </w:tc>
        <w:tc>
          <w:tcPr>
            <w:tcW w:w="1028" w:type="pct"/>
          </w:tcPr>
          <w:p w14:paraId="3E8BA11B"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天津港第二集装箱码头有限公司</w:t>
            </w:r>
          </w:p>
        </w:tc>
        <w:tc>
          <w:tcPr>
            <w:tcW w:w="1202" w:type="pct"/>
          </w:tcPr>
          <w:p w14:paraId="0DB04F18"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高级工程师/信息部经理</w:t>
            </w:r>
          </w:p>
        </w:tc>
        <w:tc>
          <w:tcPr>
            <w:tcW w:w="674" w:type="pct"/>
            <w:vAlign w:val="center"/>
          </w:tcPr>
          <w:p w14:paraId="3FD70DBB"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383699BF"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参与第</w:t>
            </w:r>
            <w:r>
              <w:rPr>
                <w:rFonts w:asciiTheme="minorEastAsia" w:eastAsiaTheme="minorEastAsia" w:hAnsiTheme="minorEastAsia"/>
                <w:szCs w:val="21"/>
              </w:rPr>
              <w:t>4</w:t>
            </w:r>
            <w:r>
              <w:rPr>
                <w:rFonts w:asciiTheme="minorEastAsia" w:eastAsiaTheme="minorEastAsia" w:hAnsiTheme="minorEastAsia" w:hint="eastAsia"/>
                <w:szCs w:val="21"/>
              </w:rPr>
              <w:t>章节的编写及相关技术论证。</w:t>
            </w:r>
          </w:p>
        </w:tc>
      </w:tr>
      <w:tr w:rsidR="00F028A9" w14:paraId="385B97A6" w14:textId="77777777" w:rsidTr="005A1169">
        <w:tc>
          <w:tcPr>
            <w:tcW w:w="596" w:type="pct"/>
            <w:vAlign w:val="center"/>
          </w:tcPr>
          <w:p w14:paraId="3ACA0EEA"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高延辉</w:t>
            </w:r>
          </w:p>
        </w:tc>
        <w:tc>
          <w:tcPr>
            <w:tcW w:w="1028" w:type="pct"/>
          </w:tcPr>
          <w:p w14:paraId="74AAFA1A"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天津港第二集装箱码头有限公司</w:t>
            </w:r>
          </w:p>
        </w:tc>
        <w:tc>
          <w:tcPr>
            <w:tcW w:w="1202" w:type="pct"/>
          </w:tcPr>
          <w:p w14:paraId="5E49A224"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正高级工程师/副总经理</w:t>
            </w:r>
          </w:p>
        </w:tc>
        <w:tc>
          <w:tcPr>
            <w:tcW w:w="674" w:type="pct"/>
            <w:vAlign w:val="center"/>
          </w:tcPr>
          <w:p w14:paraId="49DE3218"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6C349596"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协调组织调研分析，参与第5、6章节的编写及相关技术论证。</w:t>
            </w:r>
          </w:p>
        </w:tc>
      </w:tr>
      <w:tr w:rsidR="00F028A9" w14:paraId="28C59732" w14:textId="77777777" w:rsidTr="005A1169">
        <w:tc>
          <w:tcPr>
            <w:tcW w:w="596" w:type="pct"/>
            <w:vAlign w:val="center"/>
          </w:tcPr>
          <w:p w14:paraId="2CD59465"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蒋天丽</w:t>
            </w:r>
          </w:p>
        </w:tc>
        <w:tc>
          <w:tcPr>
            <w:tcW w:w="1028" w:type="pct"/>
          </w:tcPr>
          <w:p w14:paraId="18AABF69"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天津港第二集装箱码头有限公司</w:t>
            </w:r>
          </w:p>
        </w:tc>
        <w:tc>
          <w:tcPr>
            <w:tcW w:w="1202" w:type="pct"/>
          </w:tcPr>
          <w:p w14:paraId="697DD504"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工程师/系统优化工程师</w:t>
            </w:r>
          </w:p>
        </w:tc>
        <w:tc>
          <w:tcPr>
            <w:tcW w:w="674" w:type="pct"/>
            <w:vAlign w:val="center"/>
          </w:tcPr>
          <w:p w14:paraId="1B61EB4C"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168C8B38"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参与调研分析，参与第7章节的编写及相关技术论证，文献资料检索。</w:t>
            </w:r>
          </w:p>
        </w:tc>
      </w:tr>
      <w:tr w:rsidR="00F028A9" w14:paraId="4DE2EFBD" w14:textId="77777777" w:rsidTr="005A1169">
        <w:tc>
          <w:tcPr>
            <w:tcW w:w="596" w:type="pct"/>
            <w:vAlign w:val="center"/>
          </w:tcPr>
          <w:p w14:paraId="3F462751"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冯淼</w:t>
            </w:r>
          </w:p>
        </w:tc>
        <w:tc>
          <w:tcPr>
            <w:tcW w:w="1028" w:type="pct"/>
            <w:vAlign w:val="center"/>
          </w:tcPr>
          <w:p w14:paraId="015F1337"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天津港第二集装箱码头有限公司</w:t>
            </w:r>
          </w:p>
        </w:tc>
        <w:tc>
          <w:tcPr>
            <w:tcW w:w="1202" w:type="pct"/>
            <w:vAlign w:val="center"/>
          </w:tcPr>
          <w:p w14:paraId="3770CEB7"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经济师/操作部经理</w:t>
            </w:r>
          </w:p>
        </w:tc>
        <w:tc>
          <w:tcPr>
            <w:tcW w:w="674" w:type="pct"/>
            <w:vAlign w:val="center"/>
          </w:tcPr>
          <w:p w14:paraId="7DB722FC"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75C62769"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港口现有作业流程和规范方面的调研分析。</w:t>
            </w:r>
          </w:p>
        </w:tc>
      </w:tr>
      <w:tr w:rsidR="00F028A9" w14:paraId="61AB4424" w14:textId="77777777" w:rsidTr="005A1169">
        <w:tc>
          <w:tcPr>
            <w:tcW w:w="596" w:type="pct"/>
            <w:vAlign w:val="center"/>
          </w:tcPr>
          <w:p w14:paraId="16140499"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陈培</w:t>
            </w:r>
          </w:p>
        </w:tc>
        <w:tc>
          <w:tcPr>
            <w:tcW w:w="1028" w:type="pct"/>
            <w:vAlign w:val="center"/>
          </w:tcPr>
          <w:p w14:paraId="19011A61"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天津港第二集装箱码头有限公司</w:t>
            </w:r>
          </w:p>
        </w:tc>
        <w:tc>
          <w:tcPr>
            <w:tcW w:w="1202" w:type="pct"/>
            <w:vAlign w:val="center"/>
          </w:tcPr>
          <w:p w14:paraId="5A5DC8F0"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高级工程师/技术部经理</w:t>
            </w:r>
          </w:p>
        </w:tc>
        <w:tc>
          <w:tcPr>
            <w:tcW w:w="674" w:type="pct"/>
            <w:vAlign w:val="center"/>
          </w:tcPr>
          <w:p w14:paraId="5AF286E3"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252D9B4B"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港口自动驾驶车辆方面的调研分析。</w:t>
            </w:r>
          </w:p>
        </w:tc>
      </w:tr>
      <w:tr w:rsidR="00F028A9" w14:paraId="75C6C635" w14:textId="77777777" w:rsidTr="005A1169">
        <w:tc>
          <w:tcPr>
            <w:tcW w:w="596" w:type="pct"/>
            <w:vAlign w:val="center"/>
          </w:tcPr>
          <w:p w14:paraId="02620641"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武彬</w:t>
            </w:r>
          </w:p>
        </w:tc>
        <w:tc>
          <w:tcPr>
            <w:tcW w:w="1028" w:type="pct"/>
            <w:vAlign w:val="center"/>
          </w:tcPr>
          <w:p w14:paraId="059691AE"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天津港第二集装箱码头有限公司</w:t>
            </w:r>
          </w:p>
        </w:tc>
        <w:tc>
          <w:tcPr>
            <w:tcW w:w="1202" w:type="pct"/>
            <w:vAlign w:val="center"/>
          </w:tcPr>
          <w:p w14:paraId="7C5F7E2D"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高级工程师/技术部副经理</w:t>
            </w:r>
          </w:p>
        </w:tc>
        <w:tc>
          <w:tcPr>
            <w:tcW w:w="674" w:type="pct"/>
            <w:vAlign w:val="center"/>
          </w:tcPr>
          <w:p w14:paraId="76787D80"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07738520"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港口自动驾驶车辆方面的调研分析。</w:t>
            </w:r>
          </w:p>
        </w:tc>
      </w:tr>
      <w:tr w:rsidR="00F028A9" w14:paraId="14244645" w14:textId="77777777" w:rsidTr="005A1169">
        <w:tc>
          <w:tcPr>
            <w:tcW w:w="596" w:type="pct"/>
            <w:vAlign w:val="center"/>
          </w:tcPr>
          <w:p w14:paraId="65AED830"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宁为玉</w:t>
            </w:r>
          </w:p>
        </w:tc>
        <w:tc>
          <w:tcPr>
            <w:tcW w:w="1028" w:type="pct"/>
            <w:vAlign w:val="center"/>
          </w:tcPr>
          <w:p w14:paraId="7FA889B7"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天津港第二集装箱码头有限公司</w:t>
            </w:r>
          </w:p>
        </w:tc>
        <w:tc>
          <w:tcPr>
            <w:tcW w:w="1202" w:type="pct"/>
            <w:vAlign w:val="center"/>
          </w:tcPr>
          <w:p w14:paraId="7FB84157"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工程师/数据架构主管</w:t>
            </w:r>
          </w:p>
        </w:tc>
        <w:tc>
          <w:tcPr>
            <w:tcW w:w="674" w:type="pct"/>
            <w:vAlign w:val="center"/>
          </w:tcPr>
          <w:p w14:paraId="5AAF9D37"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1E2F3581"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港口关键设备制造商相关调研分析。</w:t>
            </w:r>
          </w:p>
        </w:tc>
      </w:tr>
      <w:tr w:rsidR="00F028A9" w14:paraId="56D51B68" w14:textId="77777777" w:rsidTr="005A1169">
        <w:tc>
          <w:tcPr>
            <w:tcW w:w="596" w:type="pct"/>
            <w:vAlign w:val="center"/>
          </w:tcPr>
          <w:p w14:paraId="4EA88594"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徐哲</w:t>
            </w:r>
          </w:p>
        </w:tc>
        <w:tc>
          <w:tcPr>
            <w:tcW w:w="1028" w:type="pct"/>
            <w:vAlign w:val="center"/>
          </w:tcPr>
          <w:p w14:paraId="321967AB"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华为技术有限公司</w:t>
            </w:r>
          </w:p>
        </w:tc>
        <w:tc>
          <w:tcPr>
            <w:tcW w:w="1202" w:type="pct"/>
            <w:vAlign w:val="center"/>
          </w:tcPr>
          <w:p w14:paraId="13AAC9FD"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674" w:type="pct"/>
            <w:vAlign w:val="center"/>
          </w:tcPr>
          <w:p w14:paraId="1A13B199"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00910763"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第5章节的编写及相关技术论证。</w:t>
            </w:r>
          </w:p>
        </w:tc>
      </w:tr>
      <w:tr w:rsidR="00F028A9" w14:paraId="6CE14FAE" w14:textId="77777777" w:rsidTr="005A1169">
        <w:tc>
          <w:tcPr>
            <w:tcW w:w="596" w:type="pct"/>
            <w:vAlign w:val="center"/>
          </w:tcPr>
          <w:p w14:paraId="3F03B579" w14:textId="77777777" w:rsidR="00F028A9" w:rsidRDefault="00000000">
            <w:pPr>
              <w:spacing w:beforeLines="50" w:before="156" w:line="360" w:lineRule="auto"/>
              <w:jc w:val="center"/>
              <w:rPr>
                <w:rFonts w:asciiTheme="minorEastAsia" w:eastAsiaTheme="minorEastAsia" w:hAnsiTheme="minorEastAsia"/>
                <w:szCs w:val="21"/>
              </w:rPr>
            </w:pPr>
            <w:bookmarkStart w:id="7" w:name="_Toc483660124"/>
            <w:bookmarkStart w:id="8" w:name="_Toc26972783"/>
            <w:r>
              <w:rPr>
                <w:rFonts w:asciiTheme="minorEastAsia" w:eastAsiaTheme="minorEastAsia" w:hAnsiTheme="minorEastAsia" w:hint="eastAsia"/>
                <w:szCs w:val="21"/>
              </w:rPr>
              <w:t>林祥宇</w:t>
            </w:r>
          </w:p>
        </w:tc>
        <w:tc>
          <w:tcPr>
            <w:tcW w:w="1028" w:type="pct"/>
            <w:vAlign w:val="center"/>
          </w:tcPr>
          <w:p w14:paraId="498D4C92"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华为技术有限公司</w:t>
            </w:r>
          </w:p>
        </w:tc>
        <w:tc>
          <w:tcPr>
            <w:tcW w:w="1202" w:type="pct"/>
            <w:vAlign w:val="center"/>
          </w:tcPr>
          <w:p w14:paraId="50A91A98"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674" w:type="pct"/>
            <w:vAlign w:val="center"/>
          </w:tcPr>
          <w:p w14:paraId="2A336B7A"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039B259D"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第</w:t>
            </w:r>
            <w:r>
              <w:rPr>
                <w:rFonts w:asciiTheme="minorEastAsia" w:eastAsiaTheme="minorEastAsia" w:hAnsiTheme="minorEastAsia"/>
                <w:szCs w:val="21"/>
              </w:rPr>
              <w:t>6</w:t>
            </w:r>
            <w:r>
              <w:rPr>
                <w:rFonts w:asciiTheme="minorEastAsia" w:eastAsiaTheme="minorEastAsia" w:hAnsiTheme="minorEastAsia" w:hint="eastAsia"/>
                <w:szCs w:val="21"/>
              </w:rPr>
              <w:t>章节的编写及相关技术论证。</w:t>
            </w:r>
          </w:p>
        </w:tc>
      </w:tr>
      <w:tr w:rsidR="00F028A9" w14:paraId="7C325B11" w14:textId="77777777" w:rsidTr="005A1169">
        <w:tc>
          <w:tcPr>
            <w:tcW w:w="596" w:type="pct"/>
            <w:vAlign w:val="center"/>
          </w:tcPr>
          <w:p w14:paraId="4483DCE2"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郑恭楷</w:t>
            </w:r>
          </w:p>
        </w:tc>
        <w:tc>
          <w:tcPr>
            <w:tcW w:w="1028" w:type="pct"/>
            <w:vAlign w:val="center"/>
          </w:tcPr>
          <w:p w14:paraId="3F6C9F6D"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华为技术有限公司</w:t>
            </w:r>
          </w:p>
        </w:tc>
        <w:tc>
          <w:tcPr>
            <w:tcW w:w="1202" w:type="pct"/>
            <w:vAlign w:val="center"/>
          </w:tcPr>
          <w:p w14:paraId="5487C541"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674" w:type="pct"/>
            <w:vAlign w:val="center"/>
          </w:tcPr>
          <w:p w14:paraId="2822FC6E"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77368056"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交互功能与数据格式的调研与分析</w:t>
            </w:r>
          </w:p>
        </w:tc>
      </w:tr>
      <w:tr w:rsidR="00F028A9" w14:paraId="5468CF15" w14:textId="77777777" w:rsidTr="005A1169">
        <w:tc>
          <w:tcPr>
            <w:tcW w:w="596" w:type="pct"/>
            <w:vAlign w:val="center"/>
          </w:tcPr>
          <w:p w14:paraId="56AC742A"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赵宁</w:t>
            </w:r>
          </w:p>
        </w:tc>
        <w:tc>
          <w:tcPr>
            <w:tcW w:w="1028" w:type="pct"/>
            <w:vAlign w:val="center"/>
          </w:tcPr>
          <w:p w14:paraId="30D2D641"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上海海事大学</w:t>
            </w:r>
          </w:p>
        </w:tc>
        <w:tc>
          <w:tcPr>
            <w:tcW w:w="1202" w:type="pct"/>
            <w:vAlign w:val="center"/>
          </w:tcPr>
          <w:p w14:paraId="302DAA10"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副教授</w:t>
            </w:r>
          </w:p>
        </w:tc>
        <w:tc>
          <w:tcPr>
            <w:tcW w:w="674" w:type="pct"/>
            <w:vAlign w:val="center"/>
          </w:tcPr>
          <w:p w14:paraId="13EF9DDF"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1EC020F7"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协调</w:t>
            </w:r>
            <w:r>
              <w:rPr>
                <w:rFonts w:asciiTheme="minorEastAsia" w:eastAsiaTheme="minorEastAsia" w:hAnsiTheme="minorEastAsia" w:hint="eastAsia"/>
                <w:szCs w:val="21"/>
                <w:lang w:val="zh-CN"/>
              </w:rPr>
              <w:t>总体调研，</w:t>
            </w:r>
            <w:r>
              <w:rPr>
                <w:rFonts w:asciiTheme="minorEastAsia" w:eastAsiaTheme="minorEastAsia" w:hAnsiTheme="minorEastAsia" w:hint="eastAsia"/>
                <w:szCs w:val="21"/>
              </w:rPr>
              <w:t>组织技术讨论会，标准结构、要素条文的审核和标准的编辑</w:t>
            </w:r>
            <w:r>
              <w:rPr>
                <w:rFonts w:asciiTheme="minorEastAsia" w:eastAsiaTheme="minorEastAsia" w:hAnsiTheme="minorEastAsia" w:hint="eastAsia"/>
                <w:szCs w:val="21"/>
              </w:rPr>
              <w:lastRenderedPageBreak/>
              <w:t>性修改。</w:t>
            </w:r>
          </w:p>
        </w:tc>
      </w:tr>
      <w:tr w:rsidR="00F028A9" w14:paraId="48BF16FE" w14:textId="77777777" w:rsidTr="005A1169">
        <w:tc>
          <w:tcPr>
            <w:tcW w:w="596" w:type="pct"/>
            <w:vAlign w:val="center"/>
          </w:tcPr>
          <w:p w14:paraId="39253CA2"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沈一帆</w:t>
            </w:r>
          </w:p>
        </w:tc>
        <w:tc>
          <w:tcPr>
            <w:tcW w:w="1028" w:type="pct"/>
            <w:vAlign w:val="center"/>
          </w:tcPr>
          <w:p w14:paraId="6871234E"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上海海事大学</w:t>
            </w:r>
          </w:p>
        </w:tc>
        <w:tc>
          <w:tcPr>
            <w:tcW w:w="1202" w:type="pct"/>
            <w:vAlign w:val="center"/>
          </w:tcPr>
          <w:p w14:paraId="4C6CDCFC"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讲师</w:t>
            </w:r>
          </w:p>
        </w:tc>
        <w:tc>
          <w:tcPr>
            <w:tcW w:w="674" w:type="pct"/>
            <w:vAlign w:val="center"/>
          </w:tcPr>
          <w:p w14:paraId="07BF150E"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229ED94B"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要素条文的审核和标准的编辑性修改，文献资料检索。</w:t>
            </w:r>
          </w:p>
        </w:tc>
      </w:tr>
      <w:tr w:rsidR="00F028A9" w14:paraId="30E729F7" w14:textId="77777777" w:rsidTr="005A1169">
        <w:tc>
          <w:tcPr>
            <w:tcW w:w="596" w:type="pct"/>
            <w:vAlign w:val="center"/>
          </w:tcPr>
          <w:p w14:paraId="056067B2"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田丁</w:t>
            </w:r>
          </w:p>
        </w:tc>
        <w:tc>
          <w:tcPr>
            <w:tcW w:w="1028" w:type="pct"/>
            <w:vAlign w:val="center"/>
          </w:tcPr>
          <w:p w14:paraId="7C50F40B"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华海智汇技术有限公司</w:t>
            </w:r>
          </w:p>
        </w:tc>
        <w:tc>
          <w:tcPr>
            <w:tcW w:w="1202" w:type="pct"/>
            <w:vAlign w:val="center"/>
          </w:tcPr>
          <w:p w14:paraId="273E2A20"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正高级工程师</w:t>
            </w:r>
          </w:p>
        </w:tc>
        <w:tc>
          <w:tcPr>
            <w:tcW w:w="674" w:type="pct"/>
            <w:vAlign w:val="center"/>
          </w:tcPr>
          <w:p w14:paraId="6DE5F85D"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098BA62D"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协协助组织调研分析会议</w:t>
            </w:r>
          </w:p>
        </w:tc>
      </w:tr>
      <w:tr w:rsidR="00F028A9" w14:paraId="37A3E71A" w14:textId="77777777" w:rsidTr="005A1169">
        <w:tc>
          <w:tcPr>
            <w:tcW w:w="596" w:type="pct"/>
            <w:vAlign w:val="center"/>
          </w:tcPr>
          <w:p w14:paraId="72BDF484"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原辉</w:t>
            </w:r>
          </w:p>
        </w:tc>
        <w:tc>
          <w:tcPr>
            <w:tcW w:w="1028" w:type="pct"/>
            <w:vAlign w:val="center"/>
          </w:tcPr>
          <w:p w14:paraId="24FECAD1"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华海智汇技术有限公司</w:t>
            </w:r>
          </w:p>
        </w:tc>
        <w:tc>
          <w:tcPr>
            <w:tcW w:w="1202" w:type="pct"/>
            <w:vAlign w:val="center"/>
          </w:tcPr>
          <w:p w14:paraId="6835BC7F"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674" w:type="pct"/>
            <w:vAlign w:val="center"/>
          </w:tcPr>
          <w:p w14:paraId="76D26416"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61D5365B"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负责组织调研分析会议，组织技术讨论会</w:t>
            </w:r>
          </w:p>
        </w:tc>
      </w:tr>
      <w:tr w:rsidR="00F028A9" w14:paraId="223C97F8" w14:textId="77777777" w:rsidTr="005A1169">
        <w:tc>
          <w:tcPr>
            <w:tcW w:w="596" w:type="pct"/>
            <w:vAlign w:val="center"/>
          </w:tcPr>
          <w:p w14:paraId="300317EC"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赵志云</w:t>
            </w:r>
          </w:p>
        </w:tc>
        <w:tc>
          <w:tcPr>
            <w:tcW w:w="1028" w:type="pct"/>
            <w:vAlign w:val="center"/>
          </w:tcPr>
          <w:p w14:paraId="3F671EC2"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华海智汇技术有限公司</w:t>
            </w:r>
          </w:p>
        </w:tc>
        <w:tc>
          <w:tcPr>
            <w:tcW w:w="1202" w:type="pct"/>
            <w:vAlign w:val="center"/>
          </w:tcPr>
          <w:p w14:paraId="3A42E963" w14:textId="77777777" w:rsidR="00F028A9" w:rsidRDefault="00000000">
            <w:pPr>
              <w:spacing w:beforeLines="50" w:before="156"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高级工程师</w:t>
            </w:r>
          </w:p>
        </w:tc>
        <w:tc>
          <w:tcPr>
            <w:tcW w:w="674" w:type="pct"/>
            <w:vAlign w:val="center"/>
          </w:tcPr>
          <w:p w14:paraId="58BCEEC7"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组员</w:t>
            </w:r>
          </w:p>
        </w:tc>
        <w:tc>
          <w:tcPr>
            <w:tcW w:w="1500" w:type="pct"/>
            <w:vAlign w:val="center"/>
          </w:tcPr>
          <w:p w14:paraId="14D69606" w14:textId="77777777" w:rsidR="00F028A9" w:rsidRDefault="00000000">
            <w:pPr>
              <w:spacing w:line="300" w:lineRule="auto"/>
              <w:jc w:val="center"/>
              <w:rPr>
                <w:rFonts w:asciiTheme="minorEastAsia" w:eastAsiaTheme="minorEastAsia" w:hAnsiTheme="minorEastAsia"/>
                <w:szCs w:val="21"/>
              </w:rPr>
            </w:pPr>
            <w:r>
              <w:rPr>
                <w:rFonts w:asciiTheme="minorEastAsia" w:eastAsiaTheme="minorEastAsia" w:hAnsiTheme="minorEastAsia" w:hint="eastAsia"/>
                <w:szCs w:val="21"/>
              </w:rPr>
              <w:t>负责组织咨询会议，联系协调调研。</w:t>
            </w:r>
          </w:p>
        </w:tc>
      </w:tr>
      <w:tr w:rsidR="005A1169" w14:paraId="378318E0" w14:textId="77777777" w:rsidTr="005A1169">
        <w:tc>
          <w:tcPr>
            <w:tcW w:w="596" w:type="pct"/>
            <w:vAlign w:val="center"/>
          </w:tcPr>
          <w:p w14:paraId="43994D83" w14:textId="6FB66EB3" w:rsidR="005A1169" w:rsidRDefault="005A1169" w:rsidP="005A1169">
            <w:pPr>
              <w:spacing w:beforeLines="50" w:before="156" w:line="360" w:lineRule="auto"/>
              <w:jc w:val="center"/>
              <w:rPr>
                <w:rFonts w:asciiTheme="minorEastAsia" w:eastAsiaTheme="minorEastAsia" w:hAnsiTheme="minorEastAsia" w:hint="eastAsia"/>
                <w:szCs w:val="21"/>
              </w:rPr>
            </w:pPr>
            <w:r w:rsidRPr="005A1169">
              <w:rPr>
                <w:rFonts w:asciiTheme="minorEastAsia" w:eastAsiaTheme="minorEastAsia" w:hAnsiTheme="minorEastAsia" w:hint="eastAsia"/>
                <w:szCs w:val="21"/>
              </w:rPr>
              <w:t>朱甬翔</w:t>
            </w:r>
          </w:p>
        </w:tc>
        <w:tc>
          <w:tcPr>
            <w:tcW w:w="1028" w:type="pct"/>
            <w:vAlign w:val="center"/>
          </w:tcPr>
          <w:p w14:paraId="6B3F7181" w14:textId="330A4C4D" w:rsidR="005A1169" w:rsidRDefault="005A1169" w:rsidP="005A1169">
            <w:pPr>
              <w:spacing w:beforeLines="50" w:before="156" w:line="360" w:lineRule="auto"/>
              <w:jc w:val="center"/>
              <w:rPr>
                <w:rFonts w:asciiTheme="minorEastAsia" w:eastAsiaTheme="minorEastAsia" w:hAnsiTheme="minorEastAsia" w:hint="eastAsia"/>
                <w:szCs w:val="21"/>
              </w:rPr>
            </w:pPr>
            <w:r w:rsidRPr="005A1169">
              <w:rPr>
                <w:rFonts w:asciiTheme="minorEastAsia" w:eastAsiaTheme="minorEastAsia" w:hAnsiTheme="minorEastAsia" w:hint="eastAsia"/>
                <w:szCs w:val="21"/>
              </w:rPr>
              <w:t>浙江智港通科技有限公司</w:t>
            </w:r>
          </w:p>
        </w:tc>
        <w:tc>
          <w:tcPr>
            <w:tcW w:w="1202" w:type="pct"/>
            <w:vAlign w:val="center"/>
          </w:tcPr>
          <w:p w14:paraId="7BF256AC" w14:textId="4137C505" w:rsidR="005A1169" w:rsidRDefault="005A1169" w:rsidP="005A1169">
            <w:pPr>
              <w:spacing w:beforeLines="50" w:before="156"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总经理/</w:t>
            </w:r>
            <w:r>
              <w:rPr>
                <w:rFonts w:asciiTheme="minorEastAsia" w:eastAsiaTheme="minorEastAsia" w:hAnsiTheme="minorEastAsia" w:hint="eastAsia"/>
                <w:szCs w:val="21"/>
              </w:rPr>
              <w:t>高级工程师</w:t>
            </w:r>
          </w:p>
        </w:tc>
        <w:tc>
          <w:tcPr>
            <w:tcW w:w="674" w:type="pct"/>
            <w:vAlign w:val="center"/>
          </w:tcPr>
          <w:p w14:paraId="1AF40B95" w14:textId="025CF660" w:rsidR="005A1169" w:rsidRDefault="005A1169" w:rsidP="005A1169">
            <w:pPr>
              <w:spacing w:line="30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组员</w:t>
            </w:r>
          </w:p>
        </w:tc>
        <w:tc>
          <w:tcPr>
            <w:tcW w:w="1500" w:type="pct"/>
            <w:vAlign w:val="center"/>
          </w:tcPr>
          <w:p w14:paraId="1F6D19CA" w14:textId="406F3827" w:rsidR="005A1169" w:rsidRDefault="005A1169" w:rsidP="005A1169">
            <w:pPr>
              <w:spacing w:line="30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参与第</w:t>
            </w:r>
            <w:r>
              <w:rPr>
                <w:rFonts w:asciiTheme="minorEastAsia" w:eastAsiaTheme="minorEastAsia" w:hAnsiTheme="minorEastAsia"/>
                <w:szCs w:val="21"/>
              </w:rPr>
              <w:t>5-6</w:t>
            </w:r>
            <w:r>
              <w:rPr>
                <w:rFonts w:asciiTheme="minorEastAsia" w:eastAsiaTheme="minorEastAsia" w:hAnsiTheme="minorEastAsia" w:hint="eastAsia"/>
                <w:szCs w:val="21"/>
              </w:rPr>
              <w:t>章节的编写及相关技术论证</w:t>
            </w:r>
            <w:r>
              <w:rPr>
                <w:rFonts w:asciiTheme="minorEastAsia" w:eastAsiaTheme="minorEastAsia" w:hAnsiTheme="minorEastAsia" w:hint="eastAsia"/>
                <w:szCs w:val="21"/>
              </w:rPr>
              <w:t>，重点保证南方码头工艺兼容性</w:t>
            </w:r>
            <w:r>
              <w:rPr>
                <w:rFonts w:asciiTheme="minorEastAsia" w:eastAsiaTheme="minorEastAsia" w:hAnsiTheme="minorEastAsia" w:hint="eastAsia"/>
                <w:szCs w:val="21"/>
              </w:rPr>
              <w:t>。</w:t>
            </w:r>
          </w:p>
        </w:tc>
      </w:tr>
      <w:tr w:rsidR="005A1169" w14:paraId="183B7F58" w14:textId="77777777" w:rsidTr="005A1169">
        <w:tc>
          <w:tcPr>
            <w:tcW w:w="596" w:type="pct"/>
            <w:vAlign w:val="center"/>
          </w:tcPr>
          <w:p w14:paraId="6351E767" w14:textId="702E2A5D" w:rsidR="005A1169" w:rsidRPr="005A1169" w:rsidRDefault="005A1169" w:rsidP="005A1169">
            <w:pPr>
              <w:spacing w:beforeLines="50" w:before="156" w:line="360" w:lineRule="auto"/>
              <w:jc w:val="center"/>
              <w:rPr>
                <w:rFonts w:asciiTheme="minorEastAsia" w:eastAsiaTheme="minorEastAsia" w:hAnsiTheme="minorEastAsia" w:hint="eastAsia"/>
                <w:szCs w:val="21"/>
              </w:rPr>
            </w:pPr>
            <w:r w:rsidRPr="005A1169">
              <w:rPr>
                <w:rFonts w:asciiTheme="minorEastAsia" w:eastAsiaTheme="minorEastAsia" w:hAnsiTheme="minorEastAsia" w:hint="eastAsia"/>
                <w:szCs w:val="21"/>
              </w:rPr>
              <w:t>杨坚</w:t>
            </w:r>
          </w:p>
        </w:tc>
        <w:tc>
          <w:tcPr>
            <w:tcW w:w="1028" w:type="pct"/>
            <w:vAlign w:val="center"/>
          </w:tcPr>
          <w:p w14:paraId="58274544" w14:textId="64228C1F" w:rsidR="005A1169" w:rsidRDefault="005A1169" w:rsidP="005A1169">
            <w:pPr>
              <w:spacing w:beforeLines="50" w:before="156" w:line="360" w:lineRule="auto"/>
              <w:jc w:val="center"/>
              <w:rPr>
                <w:rFonts w:asciiTheme="minorEastAsia" w:eastAsiaTheme="minorEastAsia" w:hAnsiTheme="minorEastAsia" w:hint="eastAsia"/>
                <w:szCs w:val="21"/>
              </w:rPr>
            </w:pPr>
            <w:r w:rsidRPr="005A1169">
              <w:rPr>
                <w:rFonts w:asciiTheme="minorEastAsia" w:eastAsiaTheme="minorEastAsia" w:hAnsiTheme="minorEastAsia" w:hint="eastAsia"/>
                <w:szCs w:val="21"/>
              </w:rPr>
              <w:t>浙江智港通科技有限公司</w:t>
            </w:r>
          </w:p>
        </w:tc>
        <w:tc>
          <w:tcPr>
            <w:tcW w:w="1202" w:type="pct"/>
            <w:vAlign w:val="center"/>
          </w:tcPr>
          <w:p w14:paraId="75991C4A" w14:textId="143B5817" w:rsidR="005A1169" w:rsidRDefault="005A1169" w:rsidP="005A1169">
            <w:pPr>
              <w:spacing w:beforeLines="50" w:before="156"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高级工程师</w:t>
            </w:r>
          </w:p>
        </w:tc>
        <w:tc>
          <w:tcPr>
            <w:tcW w:w="674" w:type="pct"/>
            <w:vAlign w:val="center"/>
          </w:tcPr>
          <w:p w14:paraId="0DDF33E1" w14:textId="43647207" w:rsidR="005A1169" w:rsidRDefault="005A1169" w:rsidP="005A1169">
            <w:pPr>
              <w:spacing w:line="30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组员</w:t>
            </w:r>
          </w:p>
        </w:tc>
        <w:tc>
          <w:tcPr>
            <w:tcW w:w="1500" w:type="pct"/>
            <w:vAlign w:val="center"/>
          </w:tcPr>
          <w:p w14:paraId="46D5EEEB" w14:textId="04CBFFF2" w:rsidR="005A1169" w:rsidRDefault="005A1169" w:rsidP="005A1169">
            <w:pPr>
              <w:spacing w:line="30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参与第</w:t>
            </w:r>
            <w:r>
              <w:rPr>
                <w:rFonts w:asciiTheme="minorEastAsia" w:eastAsiaTheme="minorEastAsia" w:hAnsiTheme="minorEastAsia"/>
                <w:szCs w:val="21"/>
              </w:rPr>
              <w:t>5-6</w:t>
            </w:r>
            <w:r>
              <w:rPr>
                <w:rFonts w:asciiTheme="minorEastAsia" w:eastAsiaTheme="minorEastAsia" w:hAnsiTheme="minorEastAsia" w:hint="eastAsia"/>
                <w:szCs w:val="21"/>
              </w:rPr>
              <w:t>章节的编写及相关技术论证，</w:t>
            </w:r>
            <w:r>
              <w:rPr>
                <w:rFonts w:asciiTheme="minorEastAsia" w:eastAsiaTheme="minorEastAsia" w:hAnsiTheme="minorEastAsia" w:hint="eastAsia"/>
                <w:szCs w:val="21"/>
              </w:rPr>
              <w:t>文稿校验与修改</w:t>
            </w:r>
            <w:r>
              <w:rPr>
                <w:rFonts w:asciiTheme="minorEastAsia" w:eastAsiaTheme="minorEastAsia" w:hAnsiTheme="minorEastAsia" w:hint="eastAsia"/>
                <w:szCs w:val="21"/>
              </w:rPr>
              <w:t>。</w:t>
            </w:r>
          </w:p>
        </w:tc>
      </w:tr>
    </w:tbl>
    <w:p w14:paraId="488958B2" w14:textId="77777777" w:rsidR="00F028A9" w:rsidRDefault="00000000">
      <w:pPr>
        <w:spacing w:beforeLines="50" w:before="156" w:line="360" w:lineRule="auto"/>
        <w:outlineLvl w:val="1"/>
        <w:rPr>
          <w:rFonts w:asciiTheme="minorEastAsia" w:eastAsiaTheme="minorEastAsia" w:hAnsiTheme="minorEastAsia"/>
          <w:b/>
          <w:sz w:val="24"/>
          <w:szCs w:val="24"/>
        </w:rPr>
      </w:pPr>
      <w:r>
        <w:rPr>
          <w:rFonts w:asciiTheme="minorEastAsia" w:eastAsiaTheme="minorEastAsia" w:hAnsiTheme="minorEastAsia" w:hint="eastAsia"/>
          <w:b/>
          <w:sz w:val="24"/>
          <w:szCs w:val="24"/>
        </w:rPr>
        <w:t>（四）主要工作</w:t>
      </w:r>
      <w:r>
        <w:rPr>
          <w:rFonts w:asciiTheme="minorEastAsia" w:eastAsiaTheme="minorEastAsia" w:hAnsiTheme="minorEastAsia"/>
          <w:b/>
          <w:sz w:val="24"/>
          <w:szCs w:val="24"/>
        </w:rPr>
        <w:t>过</w:t>
      </w:r>
      <w:r>
        <w:rPr>
          <w:rFonts w:asciiTheme="minorEastAsia" w:eastAsiaTheme="minorEastAsia" w:hAnsiTheme="minorEastAsia" w:hint="eastAsia"/>
          <w:b/>
          <w:sz w:val="24"/>
          <w:szCs w:val="24"/>
        </w:rPr>
        <w:t>程</w:t>
      </w:r>
      <w:bookmarkEnd w:id="7"/>
      <w:bookmarkEnd w:id="8"/>
    </w:p>
    <w:p w14:paraId="581C89E4"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cs="宋体" w:hint="eastAsia"/>
          <w:sz w:val="24"/>
          <w:szCs w:val="24"/>
          <w:lang w:val="zh-CN"/>
        </w:rPr>
        <w:t>20</w:t>
      </w:r>
      <w:r>
        <w:rPr>
          <w:rFonts w:asciiTheme="minorEastAsia" w:eastAsiaTheme="minorEastAsia" w:hAnsiTheme="minorEastAsia" w:cs="宋体"/>
          <w:sz w:val="24"/>
          <w:szCs w:val="24"/>
          <w:lang w:val="zh-CN"/>
        </w:rPr>
        <w:t>2</w:t>
      </w:r>
      <w:r>
        <w:rPr>
          <w:rFonts w:asciiTheme="minorEastAsia" w:eastAsiaTheme="minorEastAsia" w:hAnsiTheme="minorEastAsia" w:cs="宋体" w:hint="eastAsia"/>
          <w:sz w:val="24"/>
          <w:szCs w:val="24"/>
        </w:rPr>
        <w:t>5</w:t>
      </w:r>
      <w:r>
        <w:rPr>
          <w:rFonts w:asciiTheme="minorEastAsia" w:eastAsiaTheme="minorEastAsia" w:hAnsiTheme="minorEastAsia" w:cs="宋体" w:hint="eastAsia"/>
          <w:sz w:val="24"/>
          <w:szCs w:val="24"/>
          <w:lang w:val="zh-CN"/>
        </w:rPr>
        <w:t>年根据《关于召开</w:t>
      </w:r>
      <w:bookmarkStart w:id="9" w:name="OLE_LINK4"/>
      <w:bookmarkStart w:id="10" w:name="OLE_LINK3"/>
      <w:r>
        <w:rPr>
          <w:rFonts w:asciiTheme="minorEastAsia" w:eastAsiaTheme="minorEastAsia" w:hAnsiTheme="minorEastAsia" w:cs="宋体" w:hint="eastAsia"/>
          <w:sz w:val="24"/>
          <w:szCs w:val="24"/>
          <w:lang w:val="zh-CN"/>
        </w:rPr>
        <w:t>中国港口协会</w:t>
      </w:r>
      <w:bookmarkEnd w:id="9"/>
      <w:bookmarkEnd w:id="10"/>
      <w:r>
        <w:rPr>
          <w:rFonts w:asciiTheme="minorEastAsia" w:eastAsiaTheme="minorEastAsia" w:hAnsiTheme="minorEastAsia" w:cs="宋体" w:hint="eastAsia"/>
          <w:sz w:val="24"/>
          <w:szCs w:val="24"/>
          <w:lang w:val="zh-CN"/>
        </w:rPr>
        <w:t>团体标准“集装箱码头自动驾驶车辆路径导航数据交互技术要求”编写大纲评审工作的通知》</w:t>
      </w:r>
      <w:r>
        <w:rPr>
          <w:rFonts w:asciiTheme="minorEastAsia" w:eastAsiaTheme="minorEastAsia" w:hAnsiTheme="minorEastAsia" w:hint="eastAsia"/>
          <w:sz w:val="24"/>
          <w:szCs w:val="24"/>
        </w:rPr>
        <w:t>，项目承担单位根据计划要求，成立编制组，明确了标准编写任务分工和时间进度安排，组织开展标准制定工作。</w:t>
      </w:r>
    </w:p>
    <w:p w14:paraId="59E2D8E0" w14:textId="77777777" w:rsidR="00F028A9" w:rsidRDefault="00000000">
      <w:pPr>
        <w:spacing w:beforeLines="50" w:before="156"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1、20</w:t>
      </w:r>
      <w:r>
        <w:rPr>
          <w:rFonts w:asciiTheme="minorEastAsia" w:eastAsiaTheme="minorEastAsia" w:hAnsiTheme="minorEastAsia"/>
          <w:sz w:val="24"/>
          <w:szCs w:val="24"/>
        </w:rPr>
        <w:t>2</w:t>
      </w:r>
      <w:r>
        <w:rPr>
          <w:rFonts w:asciiTheme="minorEastAsia" w:eastAsiaTheme="minorEastAsia" w:hAnsiTheme="minorEastAsia" w:hint="eastAsia"/>
          <w:sz w:val="24"/>
          <w:szCs w:val="24"/>
        </w:rPr>
        <w:t>5年</w:t>
      </w:r>
      <w:r>
        <w:rPr>
          <w:rFonts w:asciiTheme="minorEastAsia" w:eastAsiaTheme="minorEastAsia" w:hAnsiTheme="minorEastAsia"/>
          <w:sz w:val="24"/>
          <w:szCs w:val="24"/>
        </w:rPr>
        <w:t>6</w:t>
      </w:r>
      <w:r>
        <w:rPr>
          <w:rFonts w:asciiTheme="minorEastAsia" w:eastAsiaTheme="minorEastAsia" w:hAnsiTheme="minorEastAsia" w:hint="eastAsia"/>
          <w:sz w:val="24"/>
          <w:szCs w:val="24"/>
        </w:rPr>
        <w:t>月，课题组调研了洋山港、宁波舟山港、青岛港、厦门港、广州港、深圳港业务部门，了解其实际作业流程，调研了集装箱码头自动驾驶车辆路径导航数据交互的现有流程和作业规范，自动驾驶车辆在路径导航数据交互中存在的痛点与核心需求，以及集装箱码头自动驾驶车辆路径导航交互的业务场景、关键节点和主要功能，研究了路径导航系统和自动驾驶车辆的交互内容与交互性能要求。课题组对相关调研问题进行总结归纳，编制标准制定研究大纲。</w:t>
      </w:r>
    </w:p>
    <w:p w14:paraId="6EA6FC8A" w14:textId="77777777" w:rsidR="00F028A9" w:rsidRDefault="00000000">
      <w:pPr>
        <w:spacing w:beforeLines="50" w:before="156"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2、20</w:t>
      </w:r>
      <w:r>
        <w:rPr>
          <w:rFonts w:asciiTheme="minorEastAsia" w:eastAsiaTheme="minorEastAsia" w:hAnsiTheme="minorEastAsia"/>
          <w:sz w:val="24"/>
          <w:szCs w:val="24"/>
        </w:rPr>
        <w:t>2</w:t>
      </w:r>
      <w:r>
        <w:rPr>
          <w:rFonts w:asciiTheme="minorEastAsia" w:eastAsiaTheme="minorEastAsia" w:hAnsiTheme="minorEastAsia" w:hint="eastAsia"/>
          <w:sz w:val="24"/>
          <w:szCs w:val="24"/>
        </w:rPr>
        <w:t>5年8月，课题组根据GB/T</w:t>
      </w:r>
      <w:r>
        <w:rPr>
          <w:rFonts w:asciiTheme="minorEastAsia" w:eastAsiaTheme="minorEastAsia" w:hAnsiTheme="minorEastAsia"/>
          <w:sz w:val="24"/>
          <w:szCs w:val="24"/>
        </w:rPr>
        <w:t xml:space="preserve"> 1.1</w:t>
      </w:r>
      <w:r>
        <w:rPr>
          <w:rFonts w:asciiTheme="minorEastAsia" w:eastAsiaTheme="minorEastAsia" w:hAnsiTheme="minorEastAsia" w:hint="eastAsia"/>
          <w:sz w:val="24"/>
          <w:szCs w:val="24"/>
        </w:rPr>
        <w:t>-</w:t>
      </w:r>
      <w:r>
        <w:rPr>
          <w:rFonts w:asciiTheme="minorEastAsia" w:eastAsiaTheme="minorEastAsia" w:hAnsiTheme="minorEastAsia"/>
          <w:sz w:val="24"/>
          <w:szCs w:val="24"/>
        </w:rPr>
        <w:t>2020</w:t>
      </w:r>
      <w:r>
        <w:rPr>
          <w:rFonts w:asciiTheme="minorEastAsia" w:eastAsiaTheme="minorEastAsia" w:hAnsiTheme="minorEastAsia" w:hint="eastAsia"/>
          <w:sz w:val="24"/>
          <w:szCs w:val="24"/>
        </w:rPr>
        <w:t>给出的规则，初步编写了《</w:t>
      </w:r>
      <w:r>
        <w:rPr>
          <w:rFonts w:asciiTheme="minorEastAsia" w:eastAsiaTheme="minorEastAsia" w:hAnsiTheme="minorEastAsia" w:cs="宋体" w:hint="eastAsia"/>
          <w:sz w:val="24"/>
          <w:szCs w:val="24"/>
          <w:lang w:val="zh-CN"/>
        </w:rPr>
        <w:t>集装箱码头自动驾驶车辆路径导航数据交互技术要求</w:t>
      </w:r>
      <w:r>
        <w:rPr>
          <w:rFonts w:asciiTheme="minorEastAsia" w:eastAsiaTheme="minorEastAsia" w:hAnsiTheme="minorEastAsia" w:hint="eastAsia"/>
          <w:sz w:val="24"/>
          <w:szCs w:val="24"/>
        </w:rPr>
        <w:t>》标准草案；中国港口协会召开该团体标准研究大纲评审会，课题组提交研究大纲和标准草案。课题组根据大纲评审意见对研究大纲进行修改。</w:t>
      </w:r>
    </w:p>
    <w:p w14:paraId="17331AF1" w14:textId="70C20523" w:rsidR="00F028A9" w:rsidRDefault="00000000">
      <w:pPr>
        <w:spacing w:beforeLines="50" w:before="156"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202</w:t>
      </w:r>
      <w:r>
        <w:rPr>
          <w:rFonts w:asciiTheme="minorEastAsia" w:eastAsiaTheme="minorEastAsia" w:hAnsiTheme="minorEastAsia" w:hint="eastAsia"/>
          <w:sz w:val="24"/>
          <w:szCs w:val="24"/>
        </w:rPr>
        <w:t>5年9月，课题组选取</w:t>
      </w:r>
      <w:r w:rsidR="002F68AC">
        <w:rPr>
          <w:rFonts w:asciiTheme="minorEastAsia" w:eastAsiaTheme="minorEastAsia" w:hAnsiTheme="minorEastAsia" w:hint="eastAsia"/>
          <w:sz w:val="24"/>
          <w:szCs w:val="24"/>
        </w:rPr>
        <w:t>主线科技</w:t>
      </w:r>
      <w:r>
        <w:rPr>
          <w:rFonts w:asciiTheme="minorEastAsia" w:eastAsiaTheme="minorEastAsia" w:hAnsiTheme="minorEastAsia" w:hint="eastAsia"/>
          <w:sz w:val="24"/>
          <w:szCs w:val="24"/>
        </w:rPr>
        <w:t>、西井科技</w:t>
      </w:r>
      <w:r w:rsidR="002F68AC">
        <w:rPr>
          <w:rFonts w:asciiTheme="minorEastAsia" w:eastAsiaTheme="minorEastAsia" w:hAnsiTheme="minorEastAsia" w:hint="eastAsia"/>
          <w:sz w:val="24"/>
          <w:szCs w:val="24"/>
        </w:rPr>
        <w:t>、华为</w:t>
      </w:r>
      <w:r>
        <w:rPr>
          <w:rFonts w:asciiTheme="minorEastAsia" w:eastAsiaTheme="minorEastAsia" w:hAnsiTheme="minorEastAsia" w:hint="eastAsia"/>
          <w:sz w:val="24"/>
          <w:szCs w:val="24"/>
        </w:rPr>
        <w:t>等国内领先的港口自动驾驶解决方案提供商，</w:t>
      </w:r>
      <w:r w:rsidR="002F68AC">
        <w:rPr>
          <w:rFonts w:asciiTheme="minorEastAsia" w:eastAsiaTheme="minorEastAsia" w:hAnsiTheme="minorEastAsia" w:hint="eastAsia"/>
          <w:sz w:val="24"/>
          <w:szCs w:val="24"/>
        </w:rPr>
        <w:t>开展相关港口企业、运输单位、平台系统设计单位等的调研和技术交流</w:t>
      </w:r>
      <w:r w:rsidR="002F68AC">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重点解析其现有技术架构中的数据传输逻辑、接口协议及面对复杂环境的适应性策略。</w:t>
      </w:r>
    </w:p>
    <w:p w14:paraId="1E9D5D1B" w14:textId="77777777" w:rsidR="00F028A9" w:rsidRDefault="00000000">
      <w:pPr>
        <w:spacing w:beforeLines="50" w:before="156"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4、2025年</w:t>
      </w:r>
      <w:r>
        <w:rPr>
          <w:rFonts w:asciiTheme="minorEastAsia" w:eastAsiaTheme="minorEastAsia" w:hAnsiTheme="minorEastAsia"/>
          <w:sz w:val="24"/>
          <w:szCs w:val="24"/>
        </w:rPr>
        <w:t>1</w:t>
      </w:r>
      <w:r>
        <w:rPr>
          <w:rFonts w:asciiTheme="minorEastAsia" w:eastAsiaTheme="minorEastAsia" w:hAnsiTheme="minorEastAsia" w:hint="eastAsia"/>
          <w:sz w:val="24"/>
          <w:szCs w:val="24"/>
        </w:rPr>
        <w:t>0月，在标准草案的基础上，编写组反复讨论修改，完成了征求意见稿（初稿）。</w:t>
      </w:r>
    </w:p>
    <w:p w14:paraId="50EB06B7" w14:textId="77777777" w:rsidR="00F028A9" w:rsidRDefault="00000000">
      <w:pPr>
        <w:spacing w:beforeLines="50" w:before="156" w:line="360" w:lineRule="auto"/>
        <w:outlineLvl w:val="0"/>
        <w:rPr>
          <w:rFonts w:ascii="黑体" w:eastAsia="黑体" w:hAnsi="黑体"/>
          <w:szCs w:val="21"/>
        </w:rPr>
      </w:pPr>
      <w:bookmarkStart w:id="11" w:name="_Toc46098151"/>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标准编制原则和确定标准主要内容</w:t>
      </w:r>
      <w:r>
        <w:rPr>
          <w:rFonts w:asciiTheme="minorEastAsia" w:eastAsiaTheme="minorEastAsia" w:hAnsiTheme="minorEastAsia" w:hint="eastAsia"/>
          <w:b/>
          <w:sz w:val="24"/>
          <w:szCs w:val="24"/>
        </w:rPr>
        <w:t>的依据</w:t>
      </w:r>
      <w:bookmarkEnd w:id="11"/>
    </w:p>
    <w:p w14:paraId="636D731E" w14:textId="77777777" w:rsidR="00F028A9" w:rsidRDefault="00000000">
      <w:pPr>
        <w:spacing w:beforeLines="50" w:before="156" w:line="360" w:lineRule="auto"/>
        <w:outlineLvl w:val="1"/>
        <w:rPr>
          <w:rFonts w:asciiTheme="minorEastAsia" w:eastAsiaTheme="minorEastAsia" w:hAnsiTheme="minorEastAsia"/>
          <w:b/>
          <w:sz w:val="24"/>
          <w:szCs w:val="24"/>
        </w:rPr>
      </w:pPr>
      <w:bookmarkStart w:id="12" w:name="_Toc26972785"/>
      <w:r>
        <w:rPr>
          <w:rFonts w:asciiTheme="minorEastAsia" w:eastAsiaTheme="minorEastAsia" w:hAnsiTheme="minorEastAsia" w:hint="eastAsia"/>
          <w:b/>
          <w:sz w:val="24"/>
          <w:szCs w:val="24"/>
        </w:rPr>
        <w:t>（一）</w:t>
      </w:r>
      <w:r>
        <w:rPr>
          <w:rFonts w:asciiTheme="minorEastAsia" w:eastAsiaTheme="minorEastAsia" w:hAnsiTheme="minorEastAsia"/>
          <w:b/>
          <w:sz w:val="24"/>
          <w:szCs w:val="24"/>
        </w:rPr>
        <w:t>标准编制原则</w:t>
      </w:r>
      <w:bookmarkEnd w:id="12"/>
    </w:p>
    <w:p w14:paraId="78E64187"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本标准按GB/T 1.1-</w:t>
      </w:r>
      <w:r>
        <w:rPr>
          <w:rFonts w:asciiTheme="minorEastAsia" w:eastAsiaTheme="minorEastAsia" w:hAnsiTheme="minorEastAsia"/>
          <w:sz w:val="24"/>
          <w:szCs w:val="24"/>
        </w:rPr>
        <w:t>2020</w:t>
      </w:r>
      <w:r>
        <w:rPr>
          <w:rFonts w:asciiTheme="minorEastAsia" w:eastAsiaTheme="minorEastAsia" w:hAnsiTheme="minorEastAsia" w:hint="eastAsia"/>
          <w:sz w:val="24"/>
          <w:szCs w:val="24"/>
        </w:rPr>
        <w:t>给出的规则起草。</w:t>
      </w:r>
    </w:p>
    <w:p w14:paraId="346CCD02"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适用性原则：标准制定的相关内容应便于使用，一方面应适于直接使用，另一方面也应考虑便于被其它文件引用。</w:t>
      </w:r>
    </w:p>
    <w:p w14:paraId="4D018E08"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协调性原则：应考虑标准之间的整体协调，在制定标准时应注意和已经发布的标准进行协调，遵守基础标准和采取引用的方式是保证标准协调的有效途径。</w:t>
      </w:r>
    </w:p>
    <w:p w14:paraId="4FB2AD9C"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规范性原则：起草标准时遵守与标准制定有关的基础标准和相关法律法规。</w:t>
      </w:r>
    </w:p>
    <w:p w14:paraId="14BB184F"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先进性原则</w:t>
      </w:r>
      <w:r>
        <w:rPr>
          <w:rFonts w:asciiTheme="minorEastAsia" w:eastAsiaTheme="minorEastAsia" w:hAnsiTheme="minorEastAsia" w:hint="eastAsia"/>
          <w:sz w:val="24"/>
          <w:szCs w:val="24"/>
        </w:rPr>
        <w:t>：起草标准时注重集装箱码头自动驾驶车辆路径导航数据交互领域的技术进步和技术创新。</w:t>
      </w:r>
    </w:p>
    <w:p w14:paraId="68A051FC" w14:textId="77777777" w:rsidR="00F028A9" w:rsidRDefault="00000000">
      <w:pPr>
        <w:spacing w:beforeLines="50" w:before="156" w:line="360" w:lineRule="auto"/>
        <w:outlineLvl w:val="1"/>
        <w:rPr>
          <w:rFonts w:asciiTheme="minorEastAsia" w:eastAsiaTheme="minorEastAsia" w:hAnsiTheme="minorEastAsia"/>
          <w:b/>
          <w:sz w:val="24"/>
          <w:szCs w:val="24"/>
        </w:rPr>
      </w:pPr>
      <w:bookmarkStart w:id="13" w:name="_Toc26972786"/>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确定标准主要内容</w:t>
      </w:r>
      <w:r>
        <w:rPr>
          <w:rFonts w:asciiTheme="minorEastAsia" w:eastAsiaTheme="minorEastAsia" w:hAnsiTheme="minorEastAsia" w:hint="eastAsia"/>
          <w:b/>
          <w:sz w:val="24"/>
          <w:szCs w:val="24"/>
        </w:rPr>
        <w:t>的依据</w:t>
      </w:r>
      <w:bookmarkEnd w:id="13"/>
    </w:p>
    <w:p w14:paraId="69760EBB"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本文件规定了集装箱码头自动驾驶车辆路径导航数据交互的一般要求、信息交互内容及格式和交互的要求。</w:t>
      </w:r>
    </w:p>
    <w:p w14:paraId="71200222"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本文件适用于集装箱码头自动驾驶车辆路径导航数据交互。</w:t>
      </w:r>
    </w:p>
    <w:p w14:paraId="73FEC943"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本标准主要内容：第1章</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范围；第2章 规范性引用文件；第3章 术语和定义；第4章 一般要求；第5章 交互流程及功能；第6章 交互内容及格式；第7章 交互性能。</w:t>
      </w:r>
    </w:p>
    <w:p w14:paraId="107BF35F"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本标准编制的内容包括如下。</w:t>
      </w:r>
    </w:p>
    <w:p w14:paraId="7E3449DE" w14:textId="77777777" w:rsidR="00F028A9"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第1章  范围</w:t>
      </w:r>
    </w:p>
    <w:p w14:paraId="3702B8FE"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本文件规定了集装箱码头自动驾驶车辆路径导航数据交互的一般要求、信息交互内容及格式和交互的要求。本文件适用于集装箱码头自动驾驶车辆路径导航数据交互。</w:t>
      </w:r>
    </w:p>
    <w:p w14:paraId="7E7FBEF6" w14:textId="77777777" w:rsidR="00F028A9" w:rsidRDefault="00000000">
      <w:pPr>
        <w:spacing w:beforeLines="50" w:before="156" w:line="360" w:lineRule="auto"/>
        <w:ind w:firstLineChars="200" w:firstLine="480"/>
        <w:rPr>
          <w:rFonts w:asciiTheme="minorEastAsia" w:eastAsiaTheme="minorEastAsia" w:hAnsiTheme="minorEastAsia"/>
          <w:color w:val="1F497D" w:themeColor="text2"/>
          <w:sz w:val="24"/>
          <w:szCs w:val="24"/>
        </w:rPr>
      </w:pPr>
      <w:r>
        <w:rPr>
          <w:rFonts w:asciiTheme="minorEastAsia" w:eastAsiaTheme="minorEastAsia" w:hAnsiTheme="minorEastAsia" w:hint="eastAsia"/>
          <w:color w:val="1F497D" w:themeColor="text2"/>
          <w:sz w:val="24"/>
          <w:szCs w:val="24"/>
        </w:rPr>
        <w:t>依据：本标准的范围基于标准编写的主要目的进行界定。</w:t>
      </w:r>
    </w:p>
    <w:p w14:paraId="05CDE9A4" w14:textId="77777777" w:rsidR="00F028A9"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 xml:space="preserve">第2章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规范性引用文件</w:t>
      </w:r>
    </w:p>
    <w:p w14:paraId="4788FF3C"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本标准引用了如下标准：</w:t>
      </w:r>
    </w:p>
    <w:p w14:paraId="0809271D" w14:textId="77777777" w:rsidR="00F028A9" w:rsidRDefault="00000000">
      <w:pPr>
        <w:pStyle w:val="afa"/>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GB/T 1836 集装箱代码、识别和标记</w:t>
      </w:r>
    </w:p>
    <w:p w14:paraId="72F374E0" w14:textId="4A8BF684" w:rsidR="005A1169" w:rsidRPr="005A1169" w:rsidRDefault="005A1169">
      <w:pPr>
        <w:pStyle w:val="afa"/>
        <w:spacing w:line="360" w:lineRule="auto"/>
        <w:ind w:firstLine="480"/>
        <w:rPr>
          <w:rFonts w:asciiTheme="minorEastAsia" w:eastAsiaTheme="minorEastAsia" w:hAnsiTheme="minorEastAsia" w:hint="eastAsia"/>
          <w:kern w:val="2"/>
          <w:sz w:val="24"/>
          <w:szCs w:val="24"/>
        </w:rPr>
      </w:pPr>
      <w:r w:rsidRPr="005A1169">
        <w:rPr>
          <w:rFonts w:asciiTheme="minorEastAsia" w:eastAsiaTheme="minorEastAsia" w:hAnsiTheme="minorEastAsia" w:hint="eastAsia"/>
          <w:kern w:val="2"/>
          <w:sz w:val="24"/>
          <w:szCs w:val="24"/>
        </w:rPr>
        <w:t>GB/T 7408  数据元和交换格式信息交换 日期和时间表示法</w:t>
      </w:r>
    </w:p>
    <w:p w14:paraId="622E3D27" w14:textId="77777777" w:rsidR="00F028A9" w:rsidRDefault="00000000">
      <w:pPr>
        <w:pStyle w:val="afa"/>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GB/T 9813.3 计算机通用规范 第3部分：服务器</w:t>
      </w:r>
    </w:p>
    <w:p w14:paraId="22ECF529" w14:textId="77777777" w:rsidR="00F028A9" w:rsidRDefault="00000000">
      <w:pPr>
        <w:pStyle w:val="afa"/>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GB/T 22239 信息安全技术网络安全等级保护基本要求</w:t>
      </w:r>
    </w:p>
    <w:p w14:paraId="7785E043" w14:textId="77777777" w:rsidR="00F028A9" w:rsidRDefault="00000000">
      <w:pPr>
        <w:pStyle w:val="afa"/>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GB/T 38674 信息安全技术 应用软件安全编程指南</w:t>
      </w:r>
    </w:p>
    <w:p w14:paraId="3B57B0AA" w14:textId="77777777" w:rsidR="00F028A9" w:rsidRDefault="00000000">
      <w:pPr>
        <w:pStyle w:val="afa"/>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GB/T 39680 信息安全技术 服务器安全技术要求和测评准则</w:t>
      </w:r>
    </w:p>
    <w:p w14:paraId="76A7869C" w14:textId="77777777" w:rsidR="00F028A9" w:rsidRDefault="00000000">
      <w:pPr>
        <w:pStyle w:val="afa"/>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GB/T 42808 港口海铁联运电子数据交换技术要求</w:t>
      </w:r>
    </w:p>
    <w:p w14:paraId="4C16928B" w14:textId="77777777" w:rsidR="00F028A9" w:rsidRDefault="00000000">
      <w:pPr>
        <w:pStyle w:val="afa"/>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ISO/IEC PRF 20922 Message Queuing Telemetry Transport（消息队列遥测传输，MQTT）</w:t>
      </w:r>
    </w:p>
    <w:p w14:paraId="32F2E24B" w14:textId="77777777" w:rsidR="00F028A9" w:rsidRDefault="00000000">
      <w:pPr>
        <w:pStyle w:val="afa"/>
        <w:spacing w:line="360" w:lineRule="auto"/>
        <w:ind w:firstLine="480"/>
        <w:rPr>
          <w:rFonts w:asciiTheme="minorEastAsia" w:eastAsiaTheme="minorEastAsia" w:hAnsiTheme="minorEastAsia"/>
          <w:kern w:val="2"/>
          <w:sz w:val="24"/>
          <w:szCs w:val="24"/>
        </w:rPr>
      </w:pPr>
      <w:r>
        <w:rPr>
          <w:rFonts w:asciiTheme="minorEastAsia" w:eastAsiaTheme="minorEastAsia" w:hAnsiTheme="minorEastAsia" w:hint="eastAsia"/>
          <w:kern w:val="2"/>
          <w:sz w:val="24"/>
          <w:szCs w:val="24"/>
        </w:rPr>
        <w:t>ISO/IEC 9834-8 Universally Unique Identifiers (通用唯一标识码，UUID)</w:t>
      </w:r>
    </w:p>
    <w:p w14:paraId="0C1D2160"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依据：上述标准，涉及术语的引用，相关代码、标识以及信息安全技术网络安全等级保护基本要求等。</w:t>
      </w:r>
    </w:p>
    <w:p w14:paraId="54961513" w14:textId="77777777" w:rsidR="00F028A9"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b/>
          <w:sz w:val="24"/>
          <w:szCs w:val="24"/>
        </w:rPr>
        <w:t>3</w:t>
      </w:r>
      <w:r>
        <w:rPr>
          <w:rFonts w:asciiTheme="minorEastAsia" w:eastAsiaTheme="minorEastAsia" w:hAnsiTheme="minorEastAsia" w:hint="eastAsia"/>
          <w:b/>
          <w:sz w:val="24"/>
          <w:szCs w:val="24"/>
        </w:rPr>
        <w:t>.第3章  术语和定义</w:t>
      </w:r>
    </w:p>
    <w:p w14:paraId="1CB35265" w14:textId="77777777" w:rsidR="00F028A9" w:rsidRDefault="00000000">
      <w:pPr>
        <w:spacing w:beforeLines="50" w:before="156" w:line="360" w:lineRule="auto"/>
        <w:ind w:firstLine="420"/>
        <w:rPr>
          <w:rFonts w:asciiTheme="minorEastAsia" w:eastAsiaTheme="minorEastAsia" w:hAnsiTheme="minorEastAsia"/>
          <w:sz w:val="24"/>
          <w:szCs w:val="24"/>
        </w:rPr>
      </w:pPr>
      <w:r>
        <w:rPr>
          <w:rFonts w:asciiTheme="minorEastAsia" w:eastAsiaTheme="minorEastAsia" w:hAnsiTheme="minorEastAsia"/>
          <w:sz w:val="24"/>
          <w:szCs w:val="24"/>
        </w:rPr>
        <w:t>该</w:t>
      </w:r>
      <w:r>
        <w:rPr>
          <w:rFonts w:asciiTheme="minorEastAsia" w:eastAsiaTheme="minorEastAsia" w:hAnsiTheme="minorEastAsia" w:hint="eastAsia"/>
          <w:sz w:val="24"/>
          <w:szCs w:val="24"/>
        </w:rPr>
        <w:t>章</w:t>
      </w:r>
      <w:r>
        <w:rPr>
          <w:rFonts w:asciiTheme="minorEastAsia" w:eastAsiaTheme="minorEastAsia" w:hAnsiTheme="minorEastAsia"/>
          <w:sz w:val="24"/>
          <w:szCs w:val="24"/>
        </w:rPr>
        <w:t>主要阐述了</w:t>
      </w:r>
      <w:r>
        <w:rPr>
          <w:rFonts w:asciiTheme="minorEastAsia" w:eastAsiaTheme="minorEastAsia" w:hAnsiTheme="minorEastAsia" w:hint="eastAsia"/>
          <w:sz w:val="24"/>
          <w:szCs w:val="24"/>
        </w:rPr>
        <w:t>集装箱码头自动驾驶车辆路径导航数据交互</w:t>
      </w:r>
      <w:r>
        <w:rPr>
          <w:rFonts w:asciiTheme="minorEastAsia" w:eastAsiaTheme="minorEastAsia" w:hAnsiTheme="minorEastAsia"/>
          <w:sz w:val="24"/>
          <w:szCs w:val="24"/>
        </w:rPr>
        <w:t>过程中所涉及的术语和相关定义</w:t>
      </w:r>
      <w:r>
        <w:rPr>
          <w:rFonts w:asciiTheme="minorEastAsia" w:eastAsiaTheme="minorEastAsia" w:hAnsiTheme="minorEastAsia" w:hint="eastAsia"/>
          <w:sz w:val="24"/>
          <w:szCs w:val="24"/>
        </w:rPr>
        <w:t>。</w:t>
      </w:r>
    </w:p>
    <w:p w14:paraId="266CB406" w14:textId="77777777" w:rsidR="00F028A9" w:rsidRDefault="00000000">
      <w:pPr>
        <w:spacing w:beforeLines="50" w:before="156"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依据：GB/T 1836 、GB/T 9813.3界定的术语和定义适用于本文件。</w:t>
      </w:r>
    </w:p>
    <w:p w14:paraId="33432106" w14:textId="77777777" w:rsidR="00F028A9"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b/>
          <w:sz w:val="24"/>
          <w:szCs w:val="24"/>
        </w:rPr>
        <w:t>4</w:t>
      </w:r>
      <w:r>
        <w:rPr>
          <w:rFonts w:asciiTheme="minorEastAsia" w:eastAsiaTheme="minorEastAsia" w:hAnsiTheme="minorEastAsia" w:hint="eastAsia"/>
          <w:b/>
          <w:sz w:val="24"/>
          <w:szCs w:val="24"/>
        </w:rPr>
        <w:t xml:space="preserve">.第4章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一般要求</w:t>
      </w:r>
    </w:p>
    <w:p w14:paraId="3156AAAA" w14:textId="77777777" w:rsidR="00F028A9" w:rsidRDefault="00000000">
      <w:pPr>
        <w:spacing w:beforeLines="50" w:before="156"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该章主要规定了集装箱码头自动驾驶车辆路径导航数据交互的一般要求。</w:t>
      </w:r>
    </w:p>
    <w:p w14:paraId="64DDFA2C" w14:textId="77777777" w:rsidR="00F028A9" w:rsidRDefault="00000000">
      <w:pPr>
        <w:spacing w:beforeLines="50" w:before="156"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t>依据：规定了规定集装箱码头自动驾驶车辆路径导航数据交互的设备要求、网络安全等一般要求，根据各港口运营经验反馈而制定，具备一定的科学性、合理性和可靠性。</w:t>
      </w:r>
    </w:p>
    <w:p w14:paraId="32D34F97" w14:textId="77777777" w:rsidR="00F028A9" w:rsidRDefault="00000000">
      <w:pPr>
        <w:numPr>
          <w:ilvl w:val="0"/>
          <w:numId w:val="4"/>
        </w:num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第5章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交互流程及功能</w:t>
      </w:r>
    </w:p>
    <w:p w14:paraId="53C7CD86"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主要规定我国集装箱码头自动驾驶车辆路径导航数据的车路协同交互流程、交互对象和交互功能。</w:t>
      </w:r>
      <w:r>
        <w:rPr>
          <w:rFonts w:asciiTheme="minorEastAsia" w:eastAsiaTheme="minorEastAsia" w:hAnsiTheme="minorEastAsia" w:hint="eastAsia"/>
          <w:sz w:val="24"/>
          <w:szCs w:val="24"/>
        </w:rPr>
        <w:t>集装箱码头自动驾驶车辆路径导航数据交互流程包括路径指令下发、行驶状态上报、停车指令下发、对位指令下发、驶离指令下发五部分。</w:t>
      </w:r>
    </w:p>
    <w:p w14:paraId="4BD91ED1"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依据：本章规定集装箱码头自动驾驶车辆路径导航数据交互流程及功能，充分考虑了现有车联网标准及多个港口的作业经验，提炼形成了具备行业代表性与可复制性的通用交互流程，具备科学合理性和工程可靠性。</w:t>
      </w:r>
    </w:p>
    <w:p w14:paraId="05EF1419" w14:textId="77777777" w:rsidR="00F028A9"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b/>
          <w:sz w:val="24"/>
          <w:szCs w:val="24"/>
        </w:rPr>
        <w:t>6</w:t>
      </w:r>
      <w:r>
        <w:rPr>
          <w:rFonts w:asciiTheme="minorEastAsia" w:eastAsiaTheme="minorEastAsia" w:hAnsiTheme="minorEastAsia" w:hint="eastAsia"/>
          <w:b/>
          <w:sz w:val="24"/>
          <w:szCs w:val="24"/>
        </w:rPr>
        <w:t xml:space="preserve">.第6章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交互内容及格式</w:t>
      </w:r>
    </w:p>
    <w:p w14:paraId="1B89C693"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该章主要规定集装箱码头自动驾驶车辆路径导航数据交互技术要求所含的字段内容、表示形式、标准代码、数据格式、数据校验规则等。本章节中规定了路径导航数据交互内容中的数据项（字段），包括中文名称、英文名称、类型、长度、是否必填、说明等。</w:t>
      </w:r>
    </w:p>
    <w:p w14:paraId="6125143B"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依据：本章规定集装箱码头自动驾驶车辆路径导航数据交互内容及格式，且规定了部分数据项的填写规则，充分考虑了数据项的通用性和普遍适应性。</w:t>
      </w:r>
    </w:p>
    <w:p w14:paraId="3200968F" w14:textId="77777777" w:rsidR="00F028A9" w:rsidRDefault="00000000">
      <w:pPr>
        <w:spacing w:beforeLines="50" w:before="156"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7.第7章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交互性能</w:t>
      </w:r>
    </w:p>
    <w:p w14:paraId="5B9CA7E4" w14:textId="77777777" w:rsidR="00F028A9" w:rsidRDefault="00000000">
      <w:pPr>
        <w:spacing w:beforeLines="50" w:before="156"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主要规定集装箱码头自动驾驶车辆路径导航数据交互的时效性、稳定性及可靠性。</w:t>
      </w:r>
    </w:p>
    <w:p w14:paraId="23E1BBA8" w14:textId="77777777" w:rsidR="00F028A9" w:rsidRDefault="00000000">
      <w:pPr>
        <w:spacing w:beforeLines="50" w:before="156" w:line="360" w:lineRule="auto"/>
        <w:ind w:firstLineChars="200" w:firstLine="480"/>
        <w:rPr>
          <w:rFonts w:asciiTheme="minorEastAsia" w:eastAsiaTheme="minorEastAsia" w:hAnsiTheme="minorEastAsia"/>
          <w:color w:val="1F497D" w:themeColor="text2"/>
          <w:sz w:val="24"/>
          <w:szCs w:val="24"/>
        </w:rPr>
      </w:pPr>
      <w:r>
        <w:rPr>
          <w:rFonts w:asciiTheme="minorEastAsia" w:eastAsiaTheme="minorEastAsia" w:hAnsiTheme="minorEastAsia" w:hint="eastAsia"/>
          <w:color w:val="1F497D" w:themeColor="text2"/>
          <w:sz w:val="24"/>
          <w:szCs w:val="24"/>
        </w:rPr>
        <w:t>依据：首先是交互形式，经调研目前上海港、宁波港、天津港成熟运营的</w:t>
      </w:r>
      <w:r>
        <w:rPr>
          <w:rFonts w:asciiTheme="minorEastAsia" w:eastAsiaTheme="minorEastAsia" w:hAnsiTheme="minorEastAsia" w:hint="eastAsia"/>
          <w:color w:val="1F497D" w:themeColor="text2"/>
          <w:sz w:val="24"/>
          <w:szCs w:val="24"/>
        </w:rPr>
        <w:lastRenderedPageBreak/>
        <w:t>平台交互均采用网络应用程序接口（WEB API）并使用JavaScript Object Notation（JSON）格式进行数据交互，因此标准中规定了信息交互宜采用WEB API、消息队列方式等，数据格式宜采用JSON。根据参编港口单位的经验总结和共性提炼，本章也给出了路径导航系统与自动驾驶车辆信息交互的时效性、稳定性、可靠性相关要求。</w:t>
      </w:r>
    </w:p>
    <w:p w14:paraId="25E8F01A" w14:textId="77777777" w:rsidR="00F028A9" w:rsidRDefault="00000000">
      <w:pPr>
        <w:spacing w:beforeLines="50" w:before="156" w:line="360" w:lineRule="auto"/>
        <w:outlineLvl w:val="0"/>
        <w:rPr>
          <w:rFonts w:asciiTheme="minorEastAsia" w:eastAsiaTheme="minorEastAsia" w:hAnsiTheme="minorEastAsia"/>
          <w:b/>
          <w:sz w:val="24"/>
          <w:szCs w:val="24"/>
        </w:rPr>
      </w:pPr>
      <w:bookmarkStart w:id="14" w:name="_Toc46098152"/>
      <w:r>
        <w:rPr>
          <w:rFonts w:asciiTheme="minorEastAsia" w:eastAsiaTheme="minorEastAsia" w:hAnsiTheme="minorEastAsia" w:hint="eastAsia"/>
          <w:b/>
          <w:sz w:val="24"/>
          <w:szCs w:val="24"/>
        </w:rPr>
        <w:t>三、主</w:t>
      </w:r>
      <w:r>
        <w:rPr>
          <w:rFonts w:asciiTheme="minorEastAsia" w:eastAsiaTheme="minorEastAsia" w:hAnsiTheme="minorEastAsia"/>
          <w:b/>
          <w:sz w:val="24"/>
          <w:szCs w:val="24"/>
        </w:rPr>
        <w:t>要试验（或验证）的分析、综述报告，技术经济论证，预期的经济效果</w:t>
      </w:r>
      <w:bookmarkEnd w:id="14"/>
    </w:p>
    <w:p w14:paraId="744FE7A4" w14:textId="77777777" w:rsidR="00F028A9" w:rsidRDefault="00000000">
      <w:pPr>
        <w:pStyle w:val="af7"/>
        <w:numPr>
          <w:ilvl w:val="0"/>
          <w:numId w:val="5"/>
        </w:numPr>
        <w:spacing w:beforeLines="50" w:before="156" w:line="360" w:lineRule="auto"/>
        <w:ind w:firstLineChars="0"/>
        <w:rPr>
          <w:rFonts w:ascii="宋体" w:hAnsi="宋体"/>
          <w:b/>
          <w:bCs/>
          <w:sz w:val="24"/>
          <w:szCs w:val="24"/>
        </w:rPr>
      </w:pPr>
      <w:r>
        <w:rPr>
          <w:rFonts w:ascii="宋体" w:hAnsi="宋体" w:hint="eastAsia"/>
          <w:b/>
          <w:bCs/>
          <w:sz w:val="24"/>
          <w:szCs w:val="24"/>
        </w:rPr>
        <w:t>国内外应用综述</w:t>
      </w:r>
    </w:p>
    <w:p w14:paraId="51E36262" w14:textId="77777777" w:rsidR="00F028A9" w:rsidRDefault="00000000">
      <w:pPr>
        <w:spacing w:beforeLines="50" w:before="156" w:line="360" w:lineRule="auto"/>
        <w:ind w:firstLineChars="200" w:firstLine="482"/>
        <w:rPr>
          <w:rFonts w:ascii="宋体" w:hAnsi="宋体"/>
          <w:sz w:val="24"/>
          <w:szCs w:val="24"/>
        </w:rPr>
      </w:pPr>
      <w:r>
        <w:rPr>
          <w:rFonts w:ascii="宋体" w:hAnsi="宋体" w:hint="eastAsia"/>
          <w:b/>
          <w:bCs/>
          <w:sz w:val="24"/>
          <w:szCs w:val="24"/>
        </w:rPr>
        <w:t>国外集装箱码头自动驾驶车辆路径导航数据交互的现状及发展趋势与水平：</w:t>
      </w:r>
      <w:r>
        <w:rPr>
          <w:rFonts w:ascii="宋体" w:hAnsi="宋体" w:hint="eastAsia"/>
          <w:sz w:val="24"/>
          <w:szCs w:val="24"/>
        </w:rPr>
        <w:t>自上世纪90年代国内外陆续建设了近40余个自动化码头，荷兰鹿特丹ECT、德国汉堡CTA、韩国釜山新港等自动化码头均沿用“堆场垂直于岸线”布置，是目前国外主流的岸线布置模式，后续新建及改造项目正加速向混合式或平行式布局试点演进。国外集装箱码头岸桥/场桥设备的自动化运作相对较为成熟。而水平运输系统则因受码头工艺影响较大，多数是在新建垂直岸线码头使用的AGV方案实现了自动化运营。全球占比90%以上的顺岸式传统集装箱码头很难使用该方案进行自动化改造。在自动驾驶车辆路径导航数据交互方面，目前国外码头通常采用私有协议，缺乏统一的数据标准，</w:t>
      </w:r>
    </w:p>
    <w:p w14:paraId="37379AB1" w14:textId="77777777" w:rsidR="00F028A9" w:rsidRDefault="00000000">
      <w:pPr>
        <w:spacing w:beforeLines="50" w:before="156" w:line="360" w:lineRule="auto"/>
        <w:ind w:firstLineChars="200" w:firstLine="482"/>
        <w:rPr>
          <w:rFonts w:ascii="宋体" w:hAnsi="宋体"/>
          <w:b/>
          <w:bCs/>
          <w:sz w:val="24"/>
          <w:szCs w:val="24"/>
        </w:rPr>
      </w:pPr>
      <w:r>
        <w:rPr>
          <w:rFonts w:ascii="宋体" w:hAnsi="宋体" w:hint="eastAsia"/>
          <w:b/>
          <w:bCs/>
          <w:sz w:val="24"/>
          <w:szCs w:val="24"/>
        </w:rPr>
        <w:t>国内集装箱码头自动驾驶车辆路径导航数据交互的现状及发展趋势与水平：</w:t>
      </w:r>
    </w:p>
    <w:p w14:paraId="1CFCF104" w14:textId="77777777" w:rsidR="00F028A9" w:rsidRDefault="00000000">
      <w:pPr>
        <w:spacing w:beforeLines="50" w:before="156" w:line="360" w:lineRule="auto"/>
        <w:rPr>
          <w:rFonts w:ascii="宋体" w:hAnsi="宋体"/>
          <w:sz w:val="24"/>
          <w:szCs w:val="24"/>
        </w:rPr>
      </w:pPr>
      <w:r>
        <w:rPr>
          <w:rFonts w:ascii="宋体" w:hAnsi="宋体" w:hint="eastAsia"/>
          <w:sz w:val="24"/>
          <w:szCs w:val="24"/>
        </w:rPr>
        <w:t>2023年11月24日，《交通运输部关于加快智慧港口和智慧航道建设的意见》（下称《意见》）正式出台。《意见》明确，要加快推动上海港、大连港、天津港、青岛港、宁波舟山港、厦门港、深圳港、广州港等具备条件的国际枢纽海港和苏州港、南京港、芜湖港、武汉港、济宁港等具备条件的内河港集装箱码头自动化建设或改造，推进新一代自动导引车（AGV）、无人集卡等智能化水平运输设备规模化应用。集装箱码头的自动驾驶车辆规模化商用，必然标准先行。</w:t>
      </w:r>
    </w:p>
    <w:p w14:paraId="639CB36E"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自上世纪90年代国内外陆续建设了近40余个自动化码头，其中岸桥/场桥设备的自动化运作相对较为成熟。而水平运输系统则因受码头工艺影响较大，多数是在新建垂直岸线码头使用的AGV方案实现了自动化运营，同时，全球占</w:t>
      </w:r>
      <w:r>
        <w:rPr>
          <w:rFonts w:ascii="宋体" w:hAnsi="宋体" w:hint="eastAsia"/>
          <w:sz w:val="24"/>
          <w:szCs w:val="24"/>
        </w:rPr>
        <w:lastRenderedPageBreak/>
        <w:t>比90%以上的顺岸式传统集装箱码头很难使用该方案进行自动化改造。因此，要实现集装箱码头全流程无人自动化作业，自动驾驶车辆的大规模协同化调度指挥是关键技术之一。随着无人驾驶技术的兴起，2018年以后，国内大型沿海港口集团开始纷纷选择探索水平岸线自动化码头的水平运输无人化软硬件技术。在2020年初国内码头就实现了全球首次25台无人驾驶电动卡车的集群式装卸船作业，为码头水平运输提供了可靠、高效的运力保障。然而，在实际运营中一个共性瓶颈日益凸显，即单车智能的“单兵优秀”尚不足以支撑“群体高效”。无人集卡缺乏实时协同机制，多车路径规划无法统筹时空资源以保证码头交通流的整体性能，导致码头作业效率难以提高，成为常态化大规模商业运营必须突破的下一道关口。</w:t>
      </w:r>
    </w:p>
    <w:p w14:paraId="1BF5CE56"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为攻克这一难题，国内多家码头尝试采用路径导航系统（指挥大脑）与单车（自动驾驶车辆）协同交互的方式，合理规划自动驾驶车辆的行驶路径和交通秩序，确保水平运输作业的连续性，实现集装箱码头自动驾驶车辆的规模化应用。因此，应尽快规范系统与单车之间的数据交互架构、内容与格式，为集装箱码头自动驾驶车辆的大规模商业化应用创造条件，打好基础。</w:t>
      </w:r>
    </w:p>
    <w:p w14:paraId="5ABA791A"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在集装箱码头自动驾驶车辆标准化研究方面，天津港已在该领域进行了长期的摸索，于2020年初在五洲码头就实现了全球首次25台无人驾驶电动卡车的集群式作业，于2022年在新建C段码头项目中使用基于车队管理系统和自动驾驶车辆协同解决方案实现水平布置边装卸工艺的智能水平运输系统的无人驾驶，在实践运营中积累了大量的经验。</w:t>
      </w:r>
    </w:p>
    <w:p w14:paraId="3EC4B389" w14:textId="77777777" w:rsidR="00F028A9" w:rsidRDefault="00000000">
      <w:pPr>
        <w:pStyle w:val="af7"/>
        <w:numPr>
          <w:ilvl w:val="0"/>
          <w:numId w:val="5"/>
        </w:numPr>
        <w:spacing w:beforeLines="50" w:before="156" w:line="360" w:lineRule="auto"/>
        <w:ind w:firstLineChars="0"/>
        <w:rPr>
          <w:rFonts w:ascii="宋体" w:hAnsi="宋体"/>
          <w:b/>
          <w:bCs/>
          <w:sz w:val="24"/>
          <w:szCs w:val="24"/>
        </w:rPr>
      </w:pPr>
      <w:r>
        <w:rPr>
          <w:rFonts w:ascii="宋体" w:hAnsi="宋体" w:hint="eastAsia"/>
          <w:b/>
          <w:bCs/>
          <w:sz w:val="24"/>
          <w:szCs w:val="24"/>
        </w:rPr>
        <w:t>标准技术水平状况分析</w:t>
      </w:r>
    </w:p>
    <w:p w14:paraId="51D00AF1"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国外主要港口的自动驾驶车辆路径导航数据交互仍普遍依赖“单车智能+固定路径”的传统模式，仅通过局域网或私有协议完成简单的任务下发与状态回传，缺乏统一时空坐标系与毫秒级轨迹共享，协同深度有限。与之相比，国内部分大型海港已率先探索“全局时空一张图”的新型交互方式，数据有效性、完整性和交互技术手段均显著提升。本标准汇聚了各个港口、设备制造商、通信与云服务企业的核心业务与数据格式，总体技术水平达到国际先进，可为全球自动化码头车路协同提供可复制、可扩展的中国方案。</w:t>
      </w:r>
    </w:p>
    <w:p w14:paraId="7816DC48" w14:textId="77777777" w:rsidR="00F028A9" w:rsidRDefault="00000000">
      <w:pPr>
        <w:pStyle w:val="af7"/>
        <w:numPr>
          <w:ilvl w:val="0"/>
          <w:numId w:val="5"/>
        </w:numPr>
        <w:spacing w:beforeLines="50" w:before="156" w:line="360" w:lineRule="auto"/>
        <w:ind w:firstLineChars="0"/>
        <w:rPr>
          <w:rFonts w:asciiTheme="minorEastAsia" w:eastAsiaTheme="minorEastAsia" w:hAnsiTheme="minorEastAsia"/>
          <w:b/>
          <w:sz w:val="24"/>
          <w:szCs w:val="24"/>
        </w:rPr>
      </w:pPr>
      <w:r>
        <w:rPr>
          <w:rFonts w:asciiTheme="minorEastAsia" w:eastAsiaTheme="minorEastAsia" w:hAnsiTheme="minorEastAsia"/>
          <w:b/>
          <w:sz w:val="24"/>
          <w:szCs w:val="24"/>
        </w:rPr>
        <w:lastRenderedPageBreak/>
        <w:t>预期效果</w:t>
      </w:r>
    </w:p>
    <w:p w14:paraId="41A7502C"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集装箱码头自动驾驶车辆路径导航数据的交互流程设计需要覆盖多个港口的业务场景，导航交互数据内容的制定则需要获取业务规则、技术实现、硬件支撑及政策合规层面的关键信息，为标准制定提供全面支撑。该标准发布后预期可达到以下效果。</w:t>
      </w:r>
    </w:p>
    <w:p w14:paraId="46CC739B"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1、有助于构建港口级、区域级自动驾驶车辆公共数据云平台，实现信息资源共享，打造行业数字底座。。</w:t>
      </w:r>
    </w:p>
    <w:p w14:paraId="2C7BDB86" w14:textId="77777777" w:rsidR="00F028A9" w:rsidRDefault="00000000">
      <w:pPr>
        <w:spacing w:beforeLines="50" w:before="156" w:line="360" w:lineRule="auto"/>
        <w:ind w:firstLineChars="200" w:firstLine="480"/>
        <w:rPr>
          <w:rFonts w:ascii="宋体" w:hAnsi="宋体"/>
          <w:sz w:val="24"/>
          <w:szCs w:val="24"/>
        </w:rPr>
      </w:pPr>
      <w:r>
        <w:rPr>
          <w:rFonts w:ascii="宋体" w:hAnsi="宋体"/>
          <w:sz w:val="24"/>
          <w:szCs w:val="24"/>
        </w:rPr>
        <w:t>2</w:t>
      </w:r>
      <w:r>
        <w:rPr>
          <w:rFonts w:ascii="宋体" w:hAnsi="宋体" w:hint="eastAsia"/>
          <w:sz w:val="24"/>
          <w:szCs w:val="24"/>
        </w:rPr>
        <w:t>、有助于指导港口、航运、物流企业推进无人集卡全生命周期数字化管理，降低设备运维与调度成本，提升码头水平运输智能化管理水平。</w:t>
      </w:r>
    </w:p>
    <w:p w14:paraId="1A98BD2A"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3、有利于积极跟踪国际先进标准、技术和研究工作的发展方向和动态，掌握国际先进标准规范的主要内容。为企业提供一个开放式的、共享式的基础理论与技术应用创新平台，增强企业创新研发能力，提高企业效益和管理水平，服务于构建和谐社会。</w:t>
      </w:r>
    </w:p>
    <w:p w14:paraId="709DC45B"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4、有助于加强港口自动驾驶标准化管理的创新。形成集装箱码头自动驾驶车辆路径导航数据交互标准规范，在充分考虑国际国内发展实际情况的基础上，逐步将相关标准及相互关系编写成拥有自主知识产权的行业标准或国家标准。通过对外交流积极与ISO国际标准化组织联系合作，争取主导或参与国际标准的制定。</w:t>
      </w:r>
    </w:p>
    <w:p w14:paraId="218DAD36" w14:textId="77777777" w:rsidR="00F028A9" w:rsidRDefault="00000000">
      <w:pPr>
        <w:spacing w:beforeLines="50" w:before="156" w:line="360" w:lineRule="auto"/>
        <w:ind w:firstLineChars="200" w:firstLine="480"/>
        <w:rPr>
          <w:rFonts w:ascii="宋体" w:hAnsi="宋体"/>
          <w:sz w:val="24"/>
          <w:szCs w:val="24"/>
        </w:rPr>
      </w:pPr>
      <w:r>
        <w:rPr>
          <w:rFonts w:ascii="宋体" w:hAnsi="宋体"/>
          <w:sz w:val="24"/>
          <w:szCs w:val="24"/>
        </w:rPr>
        <w:t>6</w:t>
      </w:r>
      <w:r>
        <w:rPr>
          <w:rFonts w:ascii="宋体" w:hAnsi="宋体" w:hint="eastAsia"/>
          <w:sz w:val="24"/>
          <w:szCs w:val="24"/>
        </w:rPr>
        <w:t>、有助于建设绿色智能港口和交通强国，通过优化自动驾驶车辆行驶路径，降低港口水平运输能耗与碳排放，打造节能环保型物流体系，支撑港航业“双碳”目标实现。</w:t>
      </w:r>
    </w:p>
    <w:p w14:paraId="04C90DB8"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总之，本标准的制定，并随标准的宣贯，定会取得一定的经济效益和社会效益。</w:t>
      </w:r>
    </w:p>
    <w:p w14:paraId="30200FCE" w14:textId="77777777" w:rsidR="00F028A9" w:rsidRDefault="00000000">
      <w:pPr>
        <w:spacing w:beforeLines="50" w:before="156" w:line="360" w:lineRule="auto"/>
        <w:outlineLvl w:val="0"/>
        <w:rPr>
          <w:rFonts w:asciiTheme="minorEastAsia" w:eastAsiaTheme="minorEastAsia" w:hAnsiTheme="minorEastAsia"/>
          <w:b/>
          <w:sz w:val="24"/>
          <w:szCs w:val="24"/>
        </w:rPr>
      </w:pPr>
      <w:bookmarkStart w:id="15" w:name="_Toc46098153"/>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采用国际标准和国外先进标准的程度，以及与国际、国外同类标准水平的对比情况，或与测试的国外样品、样机的有关数据对比情况</w:t>
      </w:r>
      <w:bookmarkEnd w:id="15"/>
    </w:p>
    <w:p w14:paraId="590B2202" w14:textId="77777777" w:rsidR="00F028A9" w:rsidRDefault="00000000">
      <w:pPr>
        <w:spacing w:beforeLines="50" w:before="156"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目前国际上尚无集装箱码头自动驾驶车辆路径导航数据交互的相关标准。</w:t>
      </w:r>
    </w:p>
    <w:p w14:paraId="1B248E35" w14:textId="77777777" w:rsidR="00F028A9" w:rsidRDefault="00000000">
      <w:pPr>
        <w:spacing w:beforeLines="50" w:before="156" w:line="360" w:lineRule="auto"/>
        <w:outlineLvl w:val="0"/>
        <w:rPr>
          <w:rFonts w:asciiTheme="minorEastAsia" w:eastAsiaTheme="minorEastAsia" w:hAnsiTheme="minorEastAsia"/>
          <w:b/>
          <w:sz w:val="24"/>
          <w:szCs w:val="24"/>
        </w:rPr>
      </w:pPr>
      <w:bookmarkStart w:id="16" w:name="_Toc46098154"/>
      <w:r>
        <w:rPr>
          <w:rFonts w:asciiTheme="minorEastAsia" w:eastAsiaTheme="minorEastAsia" w:hAnsiTheme="minorEastAsia" w:hint="eastAsia"/>
          <w:b/>
          <w:sz w:val="24"/>
          <w:szCs w:val="24"/>
        </w:rPr>
        <w:lastRenderedPageBreak/>
        <w:t>五、</w:t>
      </w:r>
      <w:r>
        <w:rPr>
          <w:rFonts w:asciiTheme="minorEastAsia" w:eastAsiaTheme="minorEastAsia" w:hAnsiTheme="minorEastAsia"/>
          <w:b/>
          <w:sz w:val="24"/>
          <w:szCs w:val="24"/>
        </w:rPr>
        <w:t>与有关的现行法律、法规和强制性标准的关系</w:t>
      </w:r>
      <w:bookmarkEnd w:id="16"/>
    </w:p>
    <w:p w14:paraId="3FA6D3D3" w14:textId="77777777" w:rsidR="00F028A9" w:rsidRDefault="00000000">
      <w:pPr>
        <w:spacing w:beforeLines="50" w:before="156" w:line="360" w:lineRule="auto"/>
        <w:ind w:firstLineChars="200" w:firstLine="480"/>
        <w:rPr>
          <w:rFonts w:ascii="宋体" w:hAnsi="宋体"/>
          <w:sz w:val="24"/>
          <w:szCs w:val="24"/>
        </w:rPr>
      </w:pPr>
      <w:r>
        <w:rPr>
          <w:rFonts w:ascii="宋体" w:hAnsi="宋体" w:hint="eastAsia"/>
          <w:sz w:val="24"/>
          <w:szCs w:val="24"/>
        </w:rPr>
        <w:t>本标准引用了GB/T 1836《集装箱代码、识别和标记（ISO 6346:1995,IDT）》、GB/T 9813.3《计算机通用规范》第3部分：服务器、GB/T 42808《港口海铁联运电子数据交换技术要求》、ISO/IEC PRF 20922《Message Queuing Telemetry Transport》（消息队列遥测传输，MQTT）、ISO/IEC 9834-8《Universally Unique Identifiers 》(通用唯一标识码，UUID)，主要是因为在集装箱码头自动驾驶车辆路径导航数据交互中，涉及到上述标准内规定的相关术语，并未在本标准中进行定义，采用了引用的方式。</w:t>
      </w:r>
    </w:p>
    <w:p w14:paraId="7E190B55" w14:textId="77777777" w:rsidR="00F028A9" w:rsidRDefault="00000000">
      <w:pPr>
        <w:spacing w:beforeLines="50" w:before="156"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本标准引用了</w:t>
      </w:r>
      <w:r>
        <w:rPr>
          <w:rFonts w:asciiTheme="majorEastAsia" w:eastAsiaTheme="majorEastAsia" w:hAnsiTheme="majorEastAsia"/>
          <w:sz w:val="24"/>
          <w:szCs w:val="24"/>
        </w:rPr>
        <w:t>GB/T 22239</w:t>
      </w:r>
      <w:r>
        <w:rPr>
          <w:rFonts w:asciiTheme="majorEastAsia" w:eastAsiaTheme="majorEastAsia" w:hAnsiTheme="majorEastAsia" w:hint="eastAsia"/>
          <w:sz w:val="24"/>
          <w:szCs w:val="24"/>
        </w:rPr>
        <w:t>《信息安全技术 网络安全等级保护基本要求》、GB/T 38674 《信息安全技术 应用软件安全编程指南》、GB/T 39680 《信息安全技术 服务器安全技术要求和测评准则》，主要涉及平台服务器、网络的安全问题。</w:t>
      </w:r>
    </w:p>
    <w:p w14:paraId="3A41E3B2" w14:textId="77777777" w:rsidR="00F028A9" w:rsidRDefault="00000000">
      <w:pPr>
        <w:spacing w:beforeLines="50" w:before="156"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DB31/T 1505-2024《港口自动驾驶集装箱卡车运行技术要求》，上海市地方标准，该标准内容中涉及到导航的只规定了“信息系统需接收港口生产管控系统（TOS）的作业任务，实现任务自动分配与路径规划”，但并未涉及到任何路径规划、路径导航的数据结构格式要求及交互技术要求，与本标准内容不冲突。</w:t>
      </w:r>
    </w:p>
    <w:p w14:paraId="5D53CD9D" w14:textId="77777777" w:rsidR="00F028A9" w:rsidRDefault="00000000">
      <w:pPr>
        <w:spacing w:beforeLines="50" w:before="156"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T/ITS 0208《港口无人驾驶集装箱车智能水平运输管理系统技术要求》，该标准是中国智能交通产业联盟的团体标准，该标准规定了港口无人驾驶集装箱车智能水平运输管理系统（即自动驾驶车辆的路径导航系统）的系统架构、总体要求、功能要求等，涉及到车辆路径导航的只有“6.3.2 路径规划”，主要内容只规定了路径导航系统应具备路径规划的功能，但也未涉及到具体的路径规划数据格式要求，也不涉及路径导航过程中路径导航系统与自动驾驶车辆的交互技术，因此与本标准内容不冲突。</w:t>
      </w:r>
    </w:p>
    <w:p w14:paraId="21D4B93C" w14:textId="77777777" w:rsidR="00F028A9" w:rsidRDefault="00000000">
      <w:pPr>
        <w:spacing w:beforeLines="50" w:before="156" w:line="360" w:lineRule="auto"/>
        <w:outlineLvl w:val="0"/>
        <w:rPr>
          <w:rFonts w:asciiTheme="minorEastAsia" w:eastAsiaTheme="minorEastAsia" w:hAnsiTheme="minorEastAsia"/>
          <w:b/>
          <w:sz w:val="24"/>
          <w:szCs w:val="24"/>
        </w:rPr>
      </w:pPr>
      <w:bookmarkStart w:id="17" w:name="_Toc46098155"/>
      <w:r>
        <w:rPr>
          <w:rFonts w:asciiTheme="minorEastAsia" w:eastAsiaTheme="minorEastAsia" w:hAnsiTheme="minorEastAsia" w:hint="eastAsia"/>
          <w:b/>
          <w:sz w:val="24"/>
          <w:szCs w:val="24"/>
        </w:rPr>
        <w:t>六、</w:t>
      </w:r>
      <w:r>
        <w:rPr>
          <w:rFonts w:asciiTheme="minorEastAsia" w:eastAsiaTheme="minorEastAsia" w:hAnsiTheme="minorEastAsia"/>
          <w:b/>
          <w:sz w:val="24"/>
          <w:szCs w:val="24"/>
        </w:rPr>
        <w:t>重大分歧意见的处理经过和依据</w:t>
      </w:r>
      <w:bookmarkEnd w:id="17"/>
    </w:p>
    <w:p w14:paraId="78D30849" w14:textId="77777777" w:rsidR="00F028A9" w:rsidRDefault="00000000">
      <w:pPr>
        <w:spacing w:beforeLines="50" w:before="156" w:line="360" w:lineRule="auto"/>
        <w:ind w:firstLine="420"/>
        <w:rPr>
          <w:sz w:val="24"/>
          <w:szCs w:val="24"/>
        </w:rPr>
      </w:pPr>
      <w:r>
        <w:rPr>
          <w:rFonts w:hint="eastAsia"/>
          <w:sz w:val="24"/>
          <w:szCs w:val="24"/>
        </w:rPr>
        <w:t>无。</w:t>
      </w:r>
    </w:p>
    <w:p w14:paraId="52F1E263" w14:textId="77777777" w:rsidR="00F028A9" w:rsidRDefault="00000000">
      <w:pPr>
        <w:spacing w:beforeLines="50" w:before="156" w:line="360" w:lineRule="auto"/>
        <w:outlineLvl w:val="0"/>
        <w:rPr>
          <w:rFonts w:asciiTheme="minorEastAsia" w:eastAsiaTheme="minorEastAsia" w:hAnsiTheme="minorEastAsia"/>
          <w:b/>
          <w:sz w:val="24"/>
          <w:szCs w:val="24"/>
        </w:rPr>
      </w:pPr>
      <w:bookmarkStart w:id="18" w:name="_Toc46098156"/>
      <w:r>
        <w:rPr>
          <w:rFonts w:asciiTheme="minorEastAsia" w:eastAsiaTheme="minorEastAsia" w:hAnsiTheme="minorEastAsia" w:hint="eastAsia"/>
          <w:b/>
          <w:sz w:val="24"/>
          <w:szCs w:val="24"/>
        </w:rPr>
        <w:t>七、</w:t>
      </w:r>
      <w:r>
        <w:rPr>
          <w:rFonts w:asciiTheme="minorEastAsia" w:eastAsiaTheme="minorEastAsia" w:hAnsiTheme="minorEastAsia"/>
          <w:b/>
          <w:sz w:val="24"/>
          <w:szCs w:val="24"/>
        </w:rPr>
        <w:t>贯彻标准的要求和措施建议（包括组织措施、技术措施、过渡办法等内容）</w:t>
      </w:r>
      <w:bookmarkEnd w:id="18"/>
    </w:p>
    <w:p w14:paraId="2486D233" w14:textId="77777777" w:rsidR="00F028A9" w:rsidRDefault="00000000">
      <w:pPr>
        <w:spacing w:beforeLines="50" w:before="156" w:line="360" w:lineRule="auto"/>
        <w:ind w:firstLine="42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在本标准发布后，开展对本标准的宣传和贯彻的培训，明确集装箱码头路径导航系统和自动驾驶车辆的建设运营要求，为集装箱码头自动驾驶车辆路径导航数据交互提供建议和指导。</w:t>
      </w:r>
    </w:p>
    <w:p w14:paraId="633AA705" w14:textId="77777777" w:rsidR="00F028A9" w:rsidRDefault="00000000">
      <w:pPr>
        <w:spacing w:beforeLines="50" w:before="156" w:line="360" w:lineRule="auto"/>
        <w:outlineLvl w:val="0"/>
        <w:rPr>
          <w:rFonts w:asciiTheme="minorEastAsia" w:eastAsiaTheme="minorEastAsia" w:hAnsiTheme="minorEastAsia"/>
          <w:b/>
          <w:sz w:val="24"/>
          <w:szCs w:val="24"/>
        </w:rPr>
      </w:pPr>
      <w:bookmarkStart w:id="19" w:name="_Toc46098157"/>
      <w:r>
        <w:rPr>
          <w:rFonts w:asciiTheme="minorEastAsia" w:eastAsiaTheme="minorEastAsia" w:hAnsiTheme="minorEastAsia" w:hint="eastAsia"/>
          <w:b/>
          <w:sz w:val="24"/>
          <w:szCs w:val="24"/>
        </w:rPr>
        <w:t>八、</w:t>
      </w:r>
      <w:r>
        <w:rPr>
          <w:rFonts w:asciiTheme="minorEastAsia" w:eastAsiaTheme="minorEastAsia" w:hAnsiTheme="minorEastAsia"/>
          <w:b/>
          <w:sz w:val="24"/>
          <w:szCs w:val="24"/>
        </w:rPr>
        <w:t>废止现行有关标准的建议</w:t>
      </w:r>
      <w:bookmarkEnd w:id="19"/>
    </w:p>
    <w:p w14:paraId="5C26695E" w14:textId="77777777" w:rsidR="00F028A9" w:rsidRDefault="00000000">
      <w:pPr>
        <w:spacing w:beforeLines="50" w:before="156" w:line="360" w:lineRule="auto"/>
        <w:ind w:firstLineChars="202" w:firstLine="485"/>
        <w:rPr>
          <w:rFonts w:asciiTheme="minorEastAsia" w:eastAsiaTheme="minorEastAsia" w:hAnsiTheme="minorEastAsia"/>
          <w:sz w:val="24"/>
          <w:szCs w:val="24"/>
        </w:rPr>
      </w:pPr>
      <w:r>
        <w:rPr>
          <w:rFonts w:asciiTheme="minorEastAsia" w:eastAsiaTheme="minorEastAsia" w:hAnsiTheme="minorEastAsia" w:hint="eastAsia"/>
          <w:sz w:val="24"/>
          <w:szCs w:val="24"/>
        </w:rPr>
        <w:t>无。</w:t>
      </w:r>
    </w:p>
    <w:p w14:paraId="48A53355" w14:textId="77777777" w:rsidR="00F028A9" w:rsidRDefault="00000000">
      <w:pPr>
        <w:spacing w:beforeLines="50" w:before="156" w:line="360" w:lineRule="auto"/>
        <w:outlineLvl w:val="0"/>
        <w:rPr>
          <w:rFonts w:asciiTheme="minorEastAsia" w:eastAsiaTheme="minorEastAsia" w:hAnsiTheme="minorEastAsia"/>
          <w:b/>
          <w:sz w:val="24"/>
          <w:szCs w:val="24"/>
        </w:rPr>
      </w:pPr>
      <w:bookmarkStart w:id="20" w:name="_Toc46098158"/>
      <w:r>
        <w:rPr>
          <w:rFonts w:asciiTheme="minorEastAsia" w:eastAsiaTheme="minorEastAsia" w:hAnsiTheme="minorEastAsia" w:hint="eastAsia"/>
          <w:b/>
          <w:sz w:val="24"/>
          <w:szCs w:val="24"/>
        </w:rPr>
        <w:t>九、</w:t>
      </w:r>
      <w:r>
        <w:rPr>
          <w:rFonts w:asciiTheme="minorEastAsia" w:eastAsiaTheme="minorEastAsia" w:hAnsiTheme="minorEastAsia"/>
          <w:b/>
          <w:sz w:val="24"/>
          <w:szCs w:val="24"/>
        </w:rPr>
        <w:t>其他应予说明的事项</w:t>
      </w:r>
      <w:bookmarkEnd w:id="20"/>
    </w:p>
    <w:p w14:paraId="04AF2B35" w14:textId="77777777" w:rsidR="00F028A9" w:rsidRDefault="00000000">
      <w:pPr>
        <w:spacing w:beforeLines="50" w:before="156" w:line="360" w:lineRule="auto"/>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无。</w:t>
      </w:r>
    </w:p>
    <w:sectPr w:rsidR="00F028A9">
      <w:footerReference w:type="default" r:id="rId15"/>
      <w:pgSz w:w="11906" w:h="16838"/>
      <w:pgMar w:top="1588" w:right="1814" w:bottom="1588" w:left="181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E8B9" w14:textId="77777777" w:rsidR="00DF6B88" w:rsidRDefault="00DF6B88">
      <w:r>
        <w:separator/>
      </w:r>
    </w:p>
  </w:endnote>
  <w:endnote w:type="continuationSeparator" w:id="0">
    <w:p w14:paraId="0496A96A" w14:textId="77777777" w:rsidR="00DF6B88" w:rsidRDefault="00DF6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5CF9B" w14:textId="77777777" w:rsidR="00F028A9" w:rsidRDefault="00F028A9">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1979204"/>
    </w:sdtPr>
    <w:sdtContent>
      <w:p w14:paraId="31C37D17" w14:textId="77777777" w:rsidR="00F028A9" w:rsidRDefault="00000000">
        <w:pPr>
          <w:pStyle w:val="af"/>
          <w:jc w:val="center"/>
        </w:pPr>
        <w:r>
          <w:fldChar w:fldCharType="begin"/>
        </w:r>
        <w:r>
          <w:instrText>PAGE   \* MERGEFORMAT</w:instrText>
        </w:r>
        <w:r>
          <w:fldChar w:fldCharType="separate"/>
        </w:r>
        <w:r>
          <w:rPr>
            <w:lang w:val="zh-CN"/>
          </w:rPr>
          <w:t>2</w:t>
        </w:r>
        <w:r>
          <w:fldChar w:fldCharType="end"/>
        </w:r>
      </w:p>
    </w:sdtContent>
  </w:sdt>
  <w:p w14:paraId="33A2BA11" w14:textId="77777777" w:rsidR="00F028A9" w:rsidRDefault="00F028A9">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80980" w14:textId="77777777" w:rsidR="00F028A9" w:rsidRDefault="00F028A9">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402111"/>
    </w:sdtPr>
    <w:sdtContent>
      <w:p w14:paraId="252E242C" w14:textId="77777777" w:rsidR="00F028A9" w:rsidRDefault="00000000">
        <w:pPr>
          <w:pStyle w:val="af"/>
          <w:jc w:val="center"/>
        </w:pPr>
        <w:r>
          <w:fldChar w:fldCharType="begin"/>
        </w:r>
        <w:r>
          <w:instrText>PAGE   \* MERGEFORMAT</w:instrText>
        </w:r>
        <w:r>
          <w:fldChar w:fldCharType="separate"/>
        </w:r>
        <w:r>
          <w:rPr>
            <w:lang w:val="zh-CN"/>
          </w:rPr>
          <w:t>3</w:t>
        </w:r>
        <w:r>
          <w:fldChar w:fldCharType="end"/>
        </w:r>
      </w:p>
    </w:sdtContent>
  </w:sdt>
  <w:p w14:paraId="762E6082" w14:textId="77777777" w:rsidR="00F028A9" w:rsidRDefault="00F028A9">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740270"/>
    </w:sdtPr>
    <w:sdtEndPr>
      <w:rPr>
        <w:sz w:val="24"/>
        <w:szCs w:val="24"/>
      </w:rPr>
    </w:sdtEndPr>
    <w:sdtContent>
      <w:p w14:paraId="6B9B68FD" w14:textId="77777777" w:rsidR="00F028A9" w:rsidRDefault="00000000">
        <w:pPr>
          <w:pStyle w:val="af"/>
          <w:jc w:val="center"/>
          <w:rPr>
            <w:sz w:val="24"/>
            <w:szCs w:val="24"/>
          </w:rPr>
        </w:pPr>
        <w:r>
          <w:rPr>
            <w:sz w:val="24"/>
            <w:szCs w:val="24"/>
          </w:rPr>
          <w:fldChar w:fldCharType="begin"/>
        </w:r>
        <w:r>
          <w:rPr>
            <w:sz w:val="24"/>
            <w:szCs w:val="24"/>
          </w:rPr>
          <w:instrText>PAGE   \* MERGEFORMAT</w:instrText>
        </w:r>
        <w:r>
          <w:rPr>
            <w:sz w:val="24"/>
            <w:szCs w:val="24"/>
          </w:rPr>
          <w:fldChar w:fldCharType="separate"/>
        </w:r>
        <w:r>
          <w:rPr>
            <w:sz w:val="24"/>
            <w:szCs w:val="24"/>
            <w:lang w:val="zh-CN"/>
          </w:rPr>
          <w:t>7</w:t>
        </w:r>
        <w:r>
          <w:rPr>
            <w:sz w:val="24"/>
            <w:szCs w:val="24"/>
          </w:rPr>
          <w:fldChar w:fldCharType="end"/>
        </w:r>
      </w:p>
    </w:sdtContent>
  </w:sdt>
  <w:p w14:paraId="4417ABD2" w14:textId="77777777" w:rsidR="00F028A9" w:rsidRDefault="00F028A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426E" w14:textId="77777777" w:rsidR="00DF6B88" w:rsidRDefault="00DF6B88">
      <w:r>
        <w:separator/>
      </w:r>
    </w:p>
  </w:footnote>
  <w:footnote w:type="continuationSeparator" w:id="0">
    <w:p w14:paraId="21619517" w14:textId="77777777" w:rsidR="00DF6B88" w:rsidRDefault="00DF6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F8BD3" w14:textId="77777777" w:rsidR="00F028A9" w:rsidRDefault="00F028A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23C8" w14:textId="77777777" w:rsidR="00F028A9" w:rsidRDefault="00F028A9">
    <w:pPr>
      <w:pStyle w:val="af1"/>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E07" w14:textId="77777777" w:rsidR="00F028A9" w:rsidRDefault="00F028A9">
    <w:pPr>
      <w:pStyle w:val="af1"/>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decimal"/>
      <w:suff w:val="nothing"/>
      <w:lvlText w:val="%1　"/>
      <w:lvlJc w:val="left"/>
      <w:pPr>
        <w:ind w:left="1277"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color w:val="auto"/>
        <w:sz w:val="21"/>
      </w:rPr>
    </w:lvl>
    <w:lvl w:ilvl="4">
      <w:start w:val="1"/>
      <w:numFmt w:val="decimal"/>
      <w:suff w:val="nothing"/>
      <w:lvlText w:val="%1.%2.%3.%4.%5　"/>
      <w:lvlJc w:val="left"/>
      <w:pPr>
        <w:ind w:left="2126"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0000017"/>
    <w:multiLevelType w:val="multilevel"/>
    <w:tmpl w:val="00000017"/>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pStyle w:val="a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15:restartNumberingAfterBreak="0">
    <w:nsid w:val="03114E1C"/>
    <w:multiLevelType w:val="multilevel"/>
    <w:tmpl w:val="03114E1C"/>
    <w:lvl w:ilvl="0">
      <w:start w:val="1"/>
      <w:numFmt w:val="lowerLetter"/>
      <w:pStyle w:val="a2"/>
      <w:lvlText w:val="%1)"/>
      <w:lvlJc w:val="left"/>
      <w:pPr>
        <w:ind w:left="840" w:hanging="420"/>
      </w:pPr>
      <w:rPr>
        <w:rFonts w:hint="eastAsia"/>
        <w:b w:val="0"/>
        <w:i w:val="0"/>
        <w:sz w:val="20"/>
        <w:szCs w:val="21"/>
      </w:rPr>
    </w:lvl>
    <w:lvl w:ilvl="1">
      <w:start w:val="1"/>
      <w:numFmt w:val="decimal"/>
      <w:pStyle w:val="a3"/>
      <w:lvlText w:val="%2)"/>
      <w:lvlJc w:val="left"/>
      <w:pPr>
        <w:tabs>
          <w:tab w:val="left" w:pos="1259"/>
        </w:tabs>
        <w:ind w:left="1259" w:hanging="420"/>
      </w:pPr>
      <w:rPr>
        <w:rFonts w:ascii="宋体" w:eastAsia="宋体" w:hAnsi="宋体" w:hint="eastAsia"/>
        <w:b w:val="0"/>
        <w:i w:val="0"/>
        <w:sz w:val="20"/>
      </w:rPr>
    </w:lvl>
    <w:lvl w:ilvl="2">
      <w:start w:val="1"/>
      <w:numFmt w:val="decimal"/>
      <w:pStyle w:val="a4"/>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3" w15:restartNumberingAfterBreak="0">
    <w:nsid w:val="21D3588D"/>
    <w:multiLevelType w:val="multilevel"/>
    <w:tmpl w:val="21D358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FD57023"/>
    <w:multiLevelType w:val="singleLevel"/>
    <w:tmpl w:val="4FD57023"/>
    <w:lvl w:ilvl="0">
      <w:start w:val="5"/>
      <w:numFmt w:val="decimal"/>
      <w:lvlText w:val="%1."/>
      <w:lvlJc w:val="left"/>
      <w:pPr>
        <w:tabs>
          <w:tab w:val="left" w:pos="312"/>
        </w:tabs>
      </w:pPr>
    </w:lvl>
  </w:abstractNum>
  <w:num w:numId="1" w16cid:durableId="1716931185">
    <w:abstractNumId w:val="0"/>
  </w:num>
  <w:num w:numId="2" w16cid:durableId="1628780080">
    <w:abstractNumId w:val="2"/>
  </w:num>
  <w:num w:numId="3" w16cid:durableId="1010256981">
    <w:abstractNumId w:val="1"/>
  </w:num>
  <w:num w:numId="4" w16cid:durableId="1638995810">
    <w:abstractNumId w:val="4"/>
  </w:num>
  <w:num w:numId="5" w16cid:durableId="1269123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hideSpellingErrors/>
  <w:hideGrammaticalErrors/>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4D80"/>
    <w:rsid w:val="00000830"/>
    <w:rsid w:val="00002A8A"/>
    <w:rsid w:val="00002B7C"/>
    <w:rsid w:val="000041EB"/>
    <w:rsid w:val="00005EE6"/>
    <w:rsid w:val="00006EF0"/>
    <w:rsid w:val="00022B03"/>
    <w:rsid w:val="0003673B"/>
    <w:rsid w:val="00040A05"/>
    <w:rsid w:val="0004418D"/>
    <w:rsid w:val="0005238E"/>
    <w:rsid w:val="0005677E"/>
    <w:rsid w:val="00056F92"/>
    <w:rsid w:val="00061378"/>
    <w:rsid w:val="00061B94"/>
    <w:rsid w:val="000876B6"/>
    <w:rsid w:val="00093A33"/>
    <w:rsid w:val="000A01D7"/>
    <w:rsid w:val="000A4255"/>
    <w:rsid w:val="000B4D41"/>
    <w:rsid w:val="000C2E76"/>
    <w:rsid w:val="000C4503"/>
    <w:rsid w:val="000C5F7E"/>
    <w:rsid w:val="000C7AA5"/>
    <w:rsid w:val="000D127C"/>
    <w:rsid w:val="000E544E"/>
    <w:rsid w:val="000F2224"/>
    <w:rsid w:val="000F2EC1"/>
    <w:rsid w:val="000F6B29"/>
    <w:rsid w:val="00122AB5"/>
    <w:rsid w:val="00127E0C"/>
    <w:rsid w:val="00130430"/>
    <w:rsid w:val="0013290C"/>
    <w:rsid w:val="00133103"/>
    <w:rsid w:val="001379BD"/>
    <w:rsid w:val="0014096F"/>
    <w:rsid w:val="001416C7"/>
    <w:rsid w:val="001426ED"/>
    <w:rsid w:val="001500DC"/>
    <w:rsid w:val="00154EB1"/>
    <w:rsid w:val="00165479"/>
    <w:rsid w:val="00171197"/>
    <w:rsid w:val="0018261D"/>
    <w:rsid w:val="00184A21"/>
    <w:rsid w:val="00185116"/>
    <w:rsid w:val="001936E6"/>
    <w:rsid w:val="001A7EF3"/>
    <w:rsid w:val="001B2FD9"/>
    <w:rsid w:val="001B3A51"/>
    <w:rsid w:val="001D1C90"/>
    <w:rsid w:val="001D1EBF"/>
    <w:rsid w:val="001F1D88"/>
    <w:rsid w:val="001F74B5"/>
    <w:rsid w:val="001F7F7E"/>
    <w:rsid w:val="00210169"/>
    <w:rsid w:val="00211842"/>
    <w:rsid w:val="00211C22"/>
    <w:rsid w:val="00216B64"/>
    <w:rsid w:val="00227923"/>
    <w:rsid w:val="00232611"/>
    <w:rsid w:val="00241115"/>
    <w:rsid w:val="00241FE0"/>
    <w:rsid w:val="0025499B"/>
    <w:rsid w:val="002615E0"/>
    <w:rsid w:val="0026218F"/>
    <w:rsid w:val="002625BA"/>
    <w:rsid w:val="00265CCF"/>
    <w:rsid w:val="00284622"/>
    <w:rsid w:val="00291823"/>
    <w:rsid w:val="00291F76"/>
    <w:rsid w:val="002972BA"/>
    <w:rsid w:val="002A5199"/>
    <w:rsid w:val="002B0B4E"/>
    <w:rsid w:val="002C22C8"/>
    <w:rsid w:val="002C2FF7"/>
    <w:rsid w:val="002D37E7"/>
    <w:rsid w:val="002D7461"/>
    <w:rsid w:val="002E1373"/>
    <w:rsid w:val="002F68AC"/>
    <w:rsid w:val="003020FE"/>
    <w:rsid w:val="0030244D"/>
    <w:rsid w:val="0030763F"/>
    <w:rsid w:val="0031315A"/>
    <w:rsid w:val="00317F8A"/>
    <w:rsid w:val="003235DA"/>
    <w:rsid w:val="00331983"/>
    <w:rsid w:val="00332699"/>
    <w:rsid w:val="00335AFB"/>
    <w:rsid w:val="003457C2"/>
    <w:rsid w:val="00350EAC"/>
    <w:rsid w:val="003544B8"/>
    <w:rsid w:val="0035726D"/>
    <w:rsid w:val="00362971"/>
    <w:rsid w:val="00362C8D"/>
    <w:rsid w:val="00383666"/>
    <w:rsid w:val="003904FF"/>
    <w:rsid w:val="0039181B"/>
    <w:rsid w:val="0039217E"/>
    <w:rsid w:val="003956F7"/>
    <w:rsid w:val="003A1978"/>
    <w:rsid w:val="003A319E"/>
    <w:rsid w:val="003C1B8C"/>
    <w:rsid w:val="003C49F3"/>
    <w:rsid w:val="003D0C8C"/>
    <w:rsid w:val="003D38BE"/>
    <w:rsid w:val="003D41A2"/>
    <w:rsid w:val="003E0742"/>
    <w:rsid w:val="003E2746"/>
    <w:rsid w:val="003E3DEB"/>
    <w:rsid w:val="003E468D"/>
    <w:rsid w:val="003E4E65"/>
    <w:rsid w:val="003E67D3"/>
    <w:rsid w:val="003F356A"/>
    <w:rsid w:val="003F366A"/>
    <w:rsid w:val="00411932"/>
    <w:rsid w:val="00423568"/>
    <w:rsid w:val="00423E79"/>
    <w:rsid w:val="004269C3"/>
    <w:rsid w:val="004318A8"/>
    <w:rsid w:val="0044127E"/>
    <w:rsid w:val="004467BF"/>
    <w:rsid w:val="00447861"/>
    <w:rsid w:val="00453C70"/>
    <w:rsid w:val="00474922"/>
    <w:rsid w:val="004777F0"/>
    <w:rsid w:val="00483FA6"/>
    <w:rsid w:val="00485401"/>
    <w:rsid w:val="00491409"/>
    <w:rsid w:val="0049564C"/>
    <w:rsid w:val="00497192"/>
    <w:rsid w:val="004A0E65"/>
    <w:rsid w:val="004A33C6"/>
    <w:rsid w:val="004A47E5"/>
    <w:rsid w:val="004B1AD9"/>
    <w:rsid w:val="004B6E12"/>
    <w:rsid w:val="004C083D"/>
    <w:rsid w:val="004C4F8D"/>
    <w:rsid w:val="004C60ED"/>
    <w:rsid w:val="004D1019"/>
    <w:rsid w:val="004D4A52"/>
    <w:rsid w:val="004E23D1"/>
    <w:rsid w:val="004E5BE2"/>
    <w:rsid w:val="004F18E5"/>
    <w:rsid w:val="00503171"/>
    <w:rsid w:val="005034BC"/>
    <w:rsid w:val="005103DF"/>
    <w:rsid w:val="00513319"/>
    <w:rsid w:val="00522850"/>
    <w:rsid w:val="0052635F"/>
    <w:rsid w:val="00527657"/>
    <w:rsid w:val="00531A37"/>
    <w:rsid w:val="00531DE3"/>
    <w:rsid w:val="00533951"/>
    <w:rsid w:val="005419B4"/>
    <w:rsid w:val="0055366D"/>
    <w:rsid w:val="0055717B"/>
    <w:rsid w:val="005701C3"/>
    <w:rsid w:val="0057164F"/>
    <w:rsid w:val="005732C5"/>
    <w:rsid w:val="0057427B"/>
    <w:rsid w:val="00581B78"/>
    <w:rsid w:val="00581F3B"/>
    <w:rsid w:val="00586905"/>
    <w:rsid w:val="00596FA0"/>
    <w:rsid w:val="005A0690"/>
    <w:rsid w:val="005A1169"/>
    <w:rsid w:val="005C2CB0"/>
    <w:rsid w:val="005C793B"/>
    <w:rsid w:val="00601DEF"/>
    <w:rsid w:val="00602510"/>
    <w:rsid w:val="00610FB3"/>
    <w:rsid w:val="00613F43"/>
    <w:rsid w:val="00614860"/>
    <w:rsid w:val="00617919"/>
    <w:rsid w:val="006222E1"/>
    <w:rsid w:val="006469B0"/>
    <w:rsid w:val="00651BB0"/>
    <w:rsid w:val="006613FB"/>
    <w:rsid w:val="0066225C"/>
    <w:rsid w:val="006634E1"/>
    <w:rsid w:val="006672E7"/>
    <w:rsid w:val="00672A9F"/>
    <w:rsid w:val="00675F68"/>
    <w:rsid w:val="00685107"/>
    <w:rsid w:val="006A4AEF"/>
    <w:rsid w:val="006B4DF1"/>
    <w:rsid w:val="006C0076"/>
    <w:rsid w:val="006D3E3B"/>
    <w:rsid w:val="006D7746"/>
    <w:rsid w:val="006E0C0E"/>
    <w:rsid w:val="006E1CA3"/>
    <w:rsid w:val="006E1DD9"/>
    <w:rsid w:val="006E67C9"/>
    <w:rsid w:val="006E6C0B"/>
    <w:rsid w:val="006E7867"/>
    <w:rsid w:val="006F763E"/>
    <w:rsid w:val="00712890"/>
    <w:rsid w:val="007147BA"/>
    <w:rsid w:val="007165F5"/>
    <w:rsid w:val="00722B78"/>
    <w:rsid w:val="007244EE"/>
    <w:rsid w:val="0073450F"/>
    <w:rsid w:val="00750B77"/>
    <w:rsid w:val="0075309B"/>
    <w:rsid w:val="00753809"/>
    <w:rsid w:val="00763EAB"/>
    <w:rsid w:val="007647CC"/>
    <w:rsid w:val="00764D7C"/>
    <w:rsid w:val="00766C81"/>
    <w:rsid w:val="00771902"/>
    <w:rsid w:val="00773EE8"/>
    <w:rsid w:val="0077470C"/>
    <w:rsid w:val="007749DE"/>
    <w:rsid w:val="00774D80"/>
    <w:rsid w:val="00775629"/>
    <w:rsid w:val="00782ACE"/>
    <w:rsid w:val="00783DD1"/>
    <w:rsid w:val="00785292"/>
    <w:rsid w:val="00785FF9"/>
    <w:rsid w:val="007B231C"/>
    <w:rsid w:val="007C27FB"/>
    <w:rsid w:val="007D60FA"/>
    <w:rsid w:val="007E705A"/>
    <w:rsid w:val="007F1430"/>
    <w:rsid w:val="007F2782"/>
    <w:rsid w:val="007F738E"/>
    <w:rsid w:val="008107F0"/>
    <w:rsid w:val="00811CF9"/>
    <w:rsid w:val="00816801"/>
    <w:rsid w:val="0082075B"/>
    <w:rsid w:val="00826B05"/>
    <w:rsid w:val="00831EC0"/>
    <w:rsid w:val="00833541"/>
    <w:rsid w:val="0083487D"/>
    <w:rsid w:val="008367A5"/>
    <w:rsid w:val="00846E4E"/>
    <w:rsid w:val="00854D5D"/>
    <w:rsid w:val="00863840"/>
    <w:rsid w:val="00867C42"/>
    <w:rsid w:val="00870187"/>
    <w:rsid w:val="008814BD"/>
    <w:rsid w:val="00881D85"/>
    <w:rsid w:val="008914E3"/>
    <w:rsid w:val="00892F12"/>
    <w:rsid w:val="0089375D"/>
    <w:rsid w:val="008939A3"/>
    <w:rsid w:val="00895394"/>
    <w:rsid w:val="008A14D7"/>
    <w:rsid w:val="008B539F"/>
    <w:rsid w:val="008B5E30"/>
    <w:rsid w:val="008C2ECA"/>
    <w:rsid w:val="008C42BA"/>
    <w:rsid w:val="008D56EC"/>
    <w:rsid w:val="008E1E6D"/>
    <w:rsid w:val="008E4618"/>
    <w:rsid w:val="008E6F9E"/>
    <w:rsid w:val="0090678B"/>
    <w:rsid w:val="00906BF8"/>
    <w:rsid w:val="0091304A"/>
    <w:rsid w:val="00915100"/>
    <w:rsid w:val="00915800"/>
    <w:rsid w:val="00917108"/>
    <w:rsid w:val="00925151"/>
    <w:rsid w:val="00933AF0"/>
    <w:rsid w:val="009343B7"/>
    <w:rsid w:val="009352CC"/>
    <w:rsid w:val="009413AD"/>
    <w:rsid w:val="00941C5C"/>
    <w:rsid w:val="00942E15"/>
    <w:rsid w:val="00951F8B"/>
    <w:rsid w:val="009725D0"/>
    <w:rsid w:val="009751C9"/>
    <w:rsid w:val="00980E45"/>
    <w:rsid w:val="009A3C51"/>
    <w:rsid w:val="009A79E2"/>
    <w:rsid w:val="009B0566"/>
    <w:rsid w:val="009B3825"/>
    <w:rsid w:val="009D73A6"/>
    <w:rsid w:val="009F14B6"/>
    <w:rsid w:val="009F4B50"/>
    <w:rsid w:val="009F68D8"/>
    <w:rsid w:val="00A02D67"/>
    <w:rsid w:val="00A04DA5"/>
    <w:rsid w:val="00A135C4"/>
    <w:rsid w:val="00A15CFB"/>
    <w:rsid w:val="00A15D5A"/>
    <w:rsid w:val="00A20FFA"/>
    <w:rsid w:val="00A21F07"/>
    <w:rsid w:val="00A25117"/>
    <w:rsid w:val="00A25278"/>
    <w:rsid w:val="00A32AC6"/>
    <w:rsid w:val="00A3418E"/>
    <w:rsid w:val="00A3569B"/>
    <w:rsid w:val="00A40C68"/>
    <w:rsid w:val="00A41D46"/>
    <w:rsid w:val="00A428EE"/>
    <w:rsid w:val="00A50EFB"/>
    <w:rsid w:val="00A544ED"/>
    <w:rsid w:val="00A6739A"/>
    <w:rsid w:val="00A72F26"/>
    <w:rsid w:val="00A73587"/>
    <w:rsid w:val="00A75124"/>
    <w:rsid w:val="00A82559"/>
    <w:rsid w:val="00A8305A"/>
    <w:rsid w:val="00A834AA"/>
    <w:rsid w:val="00A952DE"/>
    <w:rsid w:val="00AA000E"/>
    <w:rsid w:val="00AA7101"/>
    <w:rsid w:val="00AB4B79"/>
    <w:rsid w:val="00AB698A"/>
    <w:rsid w:val="00AD5020"/>
    <w:rsid w:val="00AE3903"/>
    <w:rsid w:val="00AE4BEA"/>
    <w:rsid w:val="00AF1732"/>
    <w:rsid w:val="00AF39DC"/>
    <w:rsid w:val="00B0289B"/>
    <w:rsid w:val="00B04D4A"/>
    <w:rsid w:val="00B10F76"/>
    <w:rsid w:val="00B16BC2"/>
    <w:rsid w:val="00B2115A"/>
    <w:rsid w:val="00B328C9"/>
    <w:rsid w:val="00B60CA8"/>
    <w:rsid w:val="00B61DE6"/>
    <w:rsid w:val="00B62EFD"/>
    <w:rsid w:val="00B64CAE"/>
    <w:rsid w:val="00B67AFA"/>
    <w:rsid w:val="00B70E7E"/>
    <w:rsid w:val="00B75107"/>
    <w:rsid w:val="00B77B76"/>
    <w:rsid w:val="00B8201E"/>
    <w:rsid w:val="00B91A4E"/>
    <w:rsid w:val="00B97BF7"/>
    <w:rsid w:val="00BA7CD3"/>
    <w:rsid w:val="00BC346B"/>
    <w:rsid w:val="00BC4D1B"/>
    <w:rsid w:val="00BD31D3"/>
    <w:rsid w:val="00BF1B4B"/>
    <w:rsid w:val="00BF1D15"/>
    <w:rsid w:val="00C04636"/>
    <w:rsid w:val="00C06C7D"/>
    <w:rsid w:val="00C076AF"/>
    <w:rsid w:val="00C122F4"/>
    <w:rsid w:val="00C12A08"/>
    <w:rsid w:val="00C178A4"/>
    <w:rsid w:val="00C22DC8"/>
    <w:rsid w:val="00C35DDE"/>
    <w:rsid w:val="00C4218B"/>
    <w:rsid w:val="00C4552B"/>
    <w:rsid w:val="00C51076"/>
    <w:rsid w:val="00C515E5"/>
    <w:rsid w:val="00C54E66"/>
    <w:rsid w:val="00C55974"/>
    <w:rsid w:val="00C60E9A"/>
    <w:rsid w:val="00C64365"/>
    <w:rsid w:val="00C743BF"/>
    <w:rsid w:val="00C74772"/>
    <w:rsid w:val="00C80ECD"/>
    <w:rsid w:val="00C84E64"/>
    <w:rsid w:val="00C97DCC"/>
    <w:rsid w:val="00CA1209"/>
    <w:rsid w:val="00CB086E"/>
    <w:rsid w:val="00CB624B"/>
    <w:rsid w:val="00CB76AF"/>
    <w:rsid w:val="00CC50FC"/>
    <w:rsid w:val="00CC7E91"/>
    <w:rsid w:val="00CD3CD3"/>
    <w:rsid w:val="00CE2184"/>
    <w:rsid w:val="00CE4BDD"/>
    <w:rsid w:val="00CE6973"/>
    <w:rsid w:val="00CF4BEA"/>
    <w:rsid w:val="00D04CDE"/>
    <w:rsid w:val="00D11D0F"/>
    <w:rsid w:val="00D22500"/>
    <w:rsid w:val="00D27C20"/>
    <w:rsid w:val="00D3282A"/>
    <w:rsid w:val="00D45BF9"/>
    <w:rsid w:val="00D65397"/>
    <w:rsid w:val="00D71230"/>
    <w:rsid w:val="00D80291"/>
    <w:rsid w:val="00D8035A"/>
    <w:rsid w:val="00D813A2"/>
    <w:rsid w:val="00D83D3B"/>
    <w:rsid w:val="00D858DD"/>
    <w:rsid w:val="00D87115"/>
    <w:rsid w:val="00D9754A"/>
    <w:rsid w:val="00D97839"/>
    <w:rsid w:val="00DA6562"/>
    <w:rsid w:val="00DB2423"/>
    <w:rsid w:val="00DC2909"/>
    <w:rsid w:val="00DC3934"/>
    <w:rsid w:val="00DC5664"/>
    <w:rsid w:val="00DC70AD"/>
    <w:rsid w:val="00DD2063"/>
    <w:rsid w:val="00DD7B38"/>
    <w:rsid w:val="00DE2F1D"/>
    <w:rsid w:val="00DE3D7E"/>
    <w:rsid w:val="00DE597C"/>
    <w:rsid w:val="00DF19F3"/>
    <w:rsid w:val="00DF625C"/>
    <w:rsid w:val="00DF6B88"/>
    <w:rsid w:val="00E0009D"/>
    <w:rsid w:val="00E1061A"/>
    <w:rsid w:val="00E13578"/>
    <w:rsid w:val="00E13E25"/>
    <w:rsid w:val="00E20429"/>
    <w:rsid w:val="00E306DD"/>
    <w:rsid w:val="00E33B00"/>
    <w:rsid w:val="00E3708C"/>
    <w:rsid w:val="00E423C3"/>
    <w:rsid w:val="00E56311"/>
    <w:rsid w:val="00E81A7A"/>
    <w:rsid w:val="00E831EA"/>
    <w:rsid w:val="00E901AF"/>
    <w:rsid w:val="00E92873"/>
    <w:rsid w:val="00E953B9"/>
    <w:rsid w:val="00E968A9"/>
    <w:rsid w:val="00E96949"/>
    <w:rsid w:val="00E96F8E"/>
    <w:rsid w:val="00EA2AD0"/>
    <w:rsid w:val="00EA3493"/>
    <w:rsid w:val="00EB422A"/>
    <w:rsid w:val="00EB4E63"/>
    <w:rsid w:val="00EB6F21"/>
    <w:rsid w:val="00EC0862"/>
    <w:rsid w:val="00EC1E69"/>
    <w:rsid w:val="00ED2DA5"/>
    <w:rsid w:val="00ED4A22"/>
    <w:rsid w:val="00ED65EB"/>
    <w:rsid w:val="00ED6D60"/>
    <w:rsid w:val="00ED7616"/>
    <w:rsid w:val="00EE2638"/>
    <w:rsid w:val="00EF5034"/>
    <w:rsid w:val="00F028A9"/>
    <w:rsid w:val="00F02FAE"/>
    <w:rsid w:val="00F15686"/>
    <w:rsid w:val="00F326B1"/>
    <w:rsid w:val="00F34D0A"/>
    <w:rsid w:val="00F463B2"/>
    <w:rsid w:val="00F46D57"/>
    <w:rsid w:val="00F50060"/>
    <w:rsid w:val="00F52EEE"/>
    <w:rsid w:val="00F55585"/>
    <w:rsid w:val="00F6373F"/>
    <w:rsid w:val="00F6446A"/>
    <w:rsid w:val="00F6504F"/>
    <w:rsid w:val="00F74158"/>
    <w:rsid w:val="00FA45B6"/>
    <w:rsid w:val="00FA7B2E"/>
    <w:rsid w:val="00FC01B1"/>
    <w:rsid w:val="00FC1720"/>
    <w:rsid w:val="00FD16BC"/>
    <w:rsid w:val="00FD17BC"/>
    <w:rsid w:val="00FF332B"/>
    <w:rsid w:val="01233A9E"/>
    <w:rsid w:val="01A82395"/>
    <w:rsid w:val="01B14C06"/>
    <w:rsid w:val="028B4E8E"/>
    <w:rsid w:val="0299231A"/>
    <w:rsid w:val="02A042EA"/>
    <w:rsid w:val="02A97EFB"/>
    <w:rsid w:val="02DA23DE"/>
    <w:rsid w:val="03027479"/>
    <w:rsid w:val="04102749"/>
    <w:rsid w:val="04135C90"/>
    <w:rsid w:val="04365896"/>
    <w:rsid w:val="04D05CEB"/>
    <w:rsid w:val="05653712"/>
    <w:rsid w:val="059B00A7"/>
    <w:rsid w:val="05B253F0"/>
    <w:rsid w:val="063B53E6"/>
    <w:rsid w:val="067032E2"/>
    <w:rsid w:val="0727166F"/>
    <w:rsid w:val="07342867"/>
    <w:rsid w:val="073A744C"/>
    <w:rsid w:val="075E79A7"/>
    <w:rsid w:val="08AA6F7F"/>
    <w:rsid w:val="08CE42EF"/>
    <w:rsid w:val="08D22D7A"/>
    <w:rsid w:val="08EE6740"/>
    <w:rsid w:val="09CD5EB9"/>
    <w:rsid w:val="09CD6A00"/>
    <w:rsid w:val="09DA5642"/>
    <w:rsid w:val="0A4C2352"/>
    <w:rsid w:val="0AD81455"/>
    <w:rsid w:val="0B3B6745"/>
    <w:rsid w:val="0B6E5911"/>
    <w:rsid w:val="0B73117E"/>
    <w:rsid w:val="0BC20E34"/>
    <w:rsid w:val="0C3A5027"/>
    <w:rsid w:val="0D3A07FB"/>
    <w:rsid w:val="0D5D3E94"/>
    <w:rsid w:val="0D6671EC"/>
    <w:rsid w:val="0D872DD2"/>
    <w:rsid w:val="0EBD6B10"/>
    <w:rsid w:val="10611EED"/>
    <w:rsid w:val="106D2640"/>
    <w:rsid w:val="108616C4"/>
    <w:rsid w:val="110C1E59"/>
    <w:rsid w:val="11360C84"/>
    <w:rsid w:val="117A5014"/>
    <w:rsid w:val="12333415"/>
    <w:rsid w:val="123A29F6"/>
    <w:rsid w:val="130C3B50"/>
    <w:rsid w:val="135605B0"/>
    <w:rsid w:val="13566748"/>
    <w:rsid w:val="137347D0"/>
    <w:rsid w:val="13B85B5B"/>
    <w:rsid w:val="13DF1AA7"/>
    <w:rsid w:val="13E26EA1"/>
    <w:rsid w:val="14926B19"/>
    <w:rsid w:val="14B720DC"/>
    <w:rsid w:val="159B7C4F"/>
    <w:rsid w:val="15EA64E1"/>
    <w:rsid w:val="15F34B7A"/>
    <w:rsid w:val="15F4486A"/>
    <w:rsid w:val="15F621B4"/>
    <w:rsid w:val="168E50BE"/>
    <w:rsid w:val="17083041"/>
    <w:rsid w:val="171750B3"/>
    <w:rsid w:val="173E0892"/>
    <w:rsid w:val="17F47FC2"/>
    <w:rsid w:val="18567E5D"/>
    <w:rsid w:val="18636D79"/>
    <w:rsid w:val="189270E7"/>
    <w:rsid w:val="18F962EE"/>
    <w:rsid w:val="193E726F"/>
    <w:rsid w:val="19E219A9"/>
    <w:rsid w:val="19EC0A79"/>
    <w:rsid w:val="1A181851"/>
    <w:rsid w:val="1A41503C"/>
    <w:rsid w:val="1A5A3C35"/>
    <w:rsid w:val="1A8A3DEE"/>
    <w:rsid w:val="1AB01AA7"/>
    <w:rsid w:val="1B46240B"/>
    <w:rsid w:val="1B79353B"/>
    <w:rsid w:val="1BB47375"/>
    <w:rsid w:val="1BC11A92"/>
    <w:rsid w:val="1C9373BD"/>
    <w:rsid w:val="1CB6711D"/>
    <w:rsid w:val="1CDA65CD"/>
    <w:rsid w:val="1ED63AA6"/>
    <w:rsid w:val="1F6C4E89"/>
    <w:rsid w:val="1F6E3CDF"/>
    <w:rsid w:val="1FE41266"/>
    <w:rsid w:val="200C3C23"/>
    <w:rsid w:val="20421A6C"/>
    <w:rsid w:val="20857532"/>
    <w:rsid w:val="20EC4AAB"/>
    <w:rsid w:val="211F4451"/>
    <w:rsid w:val="21ED538F"/>
    <w:rsid w:val="22A3394E"/>
    <w:rsid w:val="22FB6A2A"/>
    <w:rsid w:val="237A70F6"/>
    <w:rsid w:val="24107A5A"/>
    <w:rsid w:val="24267906"/>
    <w:rsid w:val="242B7863"/>
    <w:rsid w:val="24AC112C"/>
    <w:rsid w:val="24AD003F"/>
    <w:rsid w:val="250052AB"/>
    <w:rsid w:val="251175E6"/>
    <w:rsid w:val="25B753DF"/>
    <w:rsid w:val="260E3B25"/>
    <w:rsid w:val="26B00701"/>
    <w:rsid w:val="275F557D"/>
    <w:rsid w:val="27A47F88"/>
    <w:rsid w:val="292E56A2"/>
    <w:rsid w:val="2937181C"/>
    <w:rsid w:val="29567CBD"/>
    <w:rsid w:val="29915199"/>
    <w:rsid w:val="29CD1DD2"/>
    <w:rsid w:val="29CE021D"/>
    <w:rsid w:val="2A5F0DF4"/>
    <w:rsid w:val="2A64640A"/>
    <w:rsid w:val="2A9E34CC"/>
    <w:rsid w:val="2AD82BCD"/>
    <w:rsid w:val="2B4324C3"/>
    <w:rsid w:val="2BBD4024"/>
    <w:rsid w:val="2C3D33B6"/>
    <w:rsid w:val="2D083727"/>
    <w:rsid w:val="2E1B3283"/>
    <w:rsid w:val="2EB2313F"/>
    <w:rsid w:val="2EBA3D06"/>
    <w:rsid w:val="2EC71AB4"/>
    <w:rsid w:val="2EE1627B"/>
    <w:rsid w:val="2F562A39"/>
    <w:rsid w:val="308570DA"/>
    <w:rsid w:val="30B637BB"/>
    <w:rsid w:val="31DC0F7C"/>
    <w:rsid w:val="31FC0B8B"/>
    <w:rsid w:val="324B62A6"/>
    <w:rsid w:val="32535608"/>
    <w:rsid w:val="32E91BA2"/>
    <w:rsid w:val="32F86420"/>
    <w:rsid w:val="330000EB"/>
    <w:rsid w:val="33263C60"/>
    <w:rsid w:val="334039A9"/>
    <w:rsid w:val="33436869"/>
    <w:rsid w:val="334D3EDF"/>
    <w:rsid w:val="33606A4D"/>
    <w:rsid w:val="34244726"/>
    <w:rsid w:val="342A7568"/>
    <w:rsid w:val="34433534"/>
    <w:rsid w:val="345A1F52"/>
    <w:rsid w:val="34A507E2"/>
    <w:rsid w:val="350B22A4"/>
    <w:rsid w:val="354F3741"/>
    <w:rsid w:val="36047377"/>
    <w:rsid w:val="361A4768"/>
    <w:rsid w:val="363168C2"/>
    <w:rsid w:val="366E2AEA"/>
    <w:rsid w:val="36794FEB"/>
    <w:rsid w:val="36F6465C"/>
    <w:rsid w:val="3788716A"/>
    <w:rsid w:val="37DE77FC"/>
    <w:rsid w:val="391F38BA"/>
    <w:rsid w:val="3967248F"/>
    <w:rsid w:val="39766595"/>
    <w:rsid w:val="39DF3CFF"/>
    <w:rsid w:val="3A571AE7"/>
    <w:rsid w:val="3A830B2E"/>
    <w:rsid w:val="3A9B7C26"/>
    <w:rsid w:val="3AF47336"/>
    <w:rsid w:val="3B2220F5"/>
    <w:rsid w:val="3B295232"/>
    <w:rsid w:val="3B2C087E"/>
    <w:rsid w:val="3C17152E"/>
    <w:rsid w:val="3CD45671"/>
    <w:rsid w:val="3CDF48A0"/>
    <w:rsid w:val="3D442B60"/>
    <w:rsid w:val="3E244AB8"/>
    <w:rsid w:val="3E5F71BC"/>
    <w:rsid w:val="3E6247FC"/>
    <w:rsid w:val="3E8B1D5F"/>
    <w:rsid w:val="3F7A4FF9"/>
    <w:rsid w:val="3F7E3672"/>
    <w:rsid w:val="3FC82E6A"/>
    <w:rsid w:val="40AE7F87"/>
    <w:rsid w:val="41AF045B"/>
    <w:rsid w:val="42091919"/>
    <w:rsid w:val="42114C71"/>
    <w:rsid w:val="43544E16"/>
    <w:rsid w:val="442944F4"/>
    <w:rsid w:val="44444E8A"/>
    <w:rsid w:val="44F114C2"/>
    <w:rsid w:val="458D5B36"/>
    <w:rsid w:val="46024FFD"/>
    <w:rsid w:val="47121270"/>
    <w:rsid w:val="481E3C65"/>
    <w:rsid w:val="483A0DD5"/>
    <w:rsid w:val="48B60321"/>
    <w:rsid w:val="48BF2D31"/>
    <w:rsid w:val="48D72771"/>
    <w:rsid w:val="493A5D30"/>
    <w:rsid w:val="497A75A0"/>
    <w:rsid w:val="4A2C364D"/>
    <w:rsid w:val="4A53075D"/>
    <w:rsid w:val="4A730AA2"/>
    <w:rsid w:val="4A7E09CA"/>
    <w:rsid w:val="4AAF1765"/>
    <w:rsid w:val="4BC87158"/>
    <w:rsid w:val="4BE807F1"/>
    <w:rsid w:val="4C312198"/>
    <w:rsid w:val="4D3E6505"/>
    <w:rsid w:val="4DD604CD"/>
    <w:rsid w:val="4EA36C51"/>
    <w:rsid w:val="4EBD5F8A"/>
    <w:rsid w:val="4EC01F05"/>
    <w:rsid w:val="4F824AB9"/>
    <w:rsid w:val="4F965890"/>
    <w:rsid w:val="51063CEB"/>
    <w:rsid w:val="51303345"/>
    <w:rsid w:val="51D75590"/>
    <w:rsid w:val="52271947"/>
    <w:rsid w:val="52E57838"/>
    <w:rsid w:val="534E7AD3"/>
    <w:rsid w:val="53682217"/>
    <w:rsid w:val="53D37FD9"/>
    <w:rsid w:val="550A24B1"/>
    <w:rsid w:val="555F4498"/>
    <w:rsid w:val="563665FD"/>
    <w:rsid w:val="572378F3"/>
    <w:rsid w:val="57336A1B"/>
    <w:rsid w:val="579E445A"/>
    <w:rsid w:val="57E72ADF"/>
    <w:rsid w:val="58076362"/>
    <w:rsid w:val="583F5C3D"/>
    <w:rsid w:val="58B57CAD"/>
    <w:rsid w:val="59034EBC"/>
    <w:rsid w:val="59282484"/>
    <w:rsid w:val="592D018B"/>
    <w:rsid w:val="59407EBE"/>
    <w:rsid w:val="59650A9B"/>
    <w:rsid w:val="5A7C4F26"/>
    <w:rsid w:val="5B9D6F1A"/>
    <w:rsid w:val="5BBE3B1E"/>
    <w:rsid w:val="5C6914DA"/>
    <w:rsid w:val="5CB339BC"/>
    <w:rsid w:val="5CE32707"/>
    <w:rsid w:val="5CE42A7D"/>
    <w:rsid w:val="5D1B452E"/>
    <w:rsid w:val="5D26561D"/>
    <w:rsid w:val="5D291EC2"/>
    <w:rsid w:val="5D2C42B6"/>
    <w:rsid w:val="5E062073"/>
    <w:rsid w:val="5E317DD6"/>
    <w:rsid w:val="5ED3379D"/>
    <w:rsid w:val="5F6B25EC"/>
    <w:rsid w:val="603A78C8"/>
    <w:rsid w:val="6126670A"/>
    <w:rsid w:val="61853EF8"/>
    <w:rsid w:val="61905496"/>
    <w:rsid w:val="619276D7"/>
    <w:rsid w:val="619C7C5C"/>
    <w:rsid w:val="61CB0541"/>
    <w:rsid w:val="623F1255"/>
    <w:rsid w:val="631657EC"/>
    <w:rsid w:val="63D538F9"/>
    <w:rsid w:val="6478689B"/>
    <w:rsid w:val="64C73242"/>
    <w:rsid w:val="653463FD"/>
    <w:rsid w:val="654E3963"/>
    <w:rsid w:val="6555790E"/>
    <w:rsid w:val="655D3BA6"/>
    <w:rsid w:val="65B35574"/>
    <w:rsid w:val="66550D8A"/>
    <w:rsid w:val="66AF21DF"/>
    <w:rsid w:val="672146AE"/>
    <w:rsid w:val="67F65BEC"/>
    <w:rsid w:val="68532558"/>
    <w:rsid w:val="68752FB5"/>
    <w:rsid w:val="693027FB"/>
    <w:rsid w:val="6A164324"/>
    <w:rsid w:val="6A934D67"/>
    <w:rsid w:val="6B142C57"/>
    <w:rsid w:val="6B260787"/>
    <w:rsid w:val="6B32518D"/>
    <w:rsid w:val="6B685053"/>
    <w:rsid w:val="6C64581A"/>
    <w:rsid w:val="6DB35745"/>
    <w:rsid w:val="6EE7202C"/>
    <w:rsid w:val="6F235519"/>
    <w:rsid w:val="6FD1766A"/>
    <w:rsid w:val="7003534A"/>
    <w:rsid w:val="70452660"/>
    <w:rsid w:val="704705DD"/>
    <w:rsid w:val="708727AC"/>
    <w:rsid w:val="708C533F"/>
    <w:rsid w:val="70952F7A"/>
    <w:rsid w:val="70D84816"/>
    <w:rsid w:val="70DA3647"/>
    <w:rsid w:val="712D55CE"/>
    <w:rsid w:val="71374018"/>
    <w:rsid w:val="728B29F8"/>
    <w:rsid w:val="732C4748"/>
    <w:rsid w:val="73C31078"/>
    <w:rsid w:val="73D30636"/>
    <w:rsid w:val="74704884"/>
    <w:rsid w:val="74A23383"/>
    <w:rsid w:val="74AE6B0D"/>
    <w:rsid w:val="75C31803"/>
    <w:rsid w:val="761E4C8C"/>
    <w:rsid w:val="7625426C"/>
    <w:rsid w:val="764E245D"/>
    <w:rsid w:val="76F0071D"/>
    <w:rsid w:val="77140320"/>
    <w:rsid w:val="771542E1"/>
    <w:rsid w:val="772207AC"/>
    <w:rsid w:val="774921DC"/>
    <w:rsid w:val="775D17E4"/>
    <w:rsid w:val="776E5551"/>
    <w:rsid w:val="77E9150B"/>
    <w:rsid w:val="78BC253A"/>
    <w:rsid w:val="7931117A"/>
    <w:rsid w:val="793B423A"/>
    <w:rsid w:val="79572781"/>
    <w:rsid w:val="79D00993"/>
    <w:rsid w:val="79FE287A"/>
    <w:rsid w:val="7A0225B3"/>
    <w:rsid w:val="7A456C8B"/>
    <w:rsid w:val="7A4D5B40"/>
    <w:rsid w:val="7B7B048A"/>
    <w:rsid w:val="7BFF2E69"/>
    <w:rsid w:val="7C4A1FD6"/>
    <w:rsid w:val="7CF65256"/>
    <w:rsid w:val="7D124E1E"/>
    <w:rsid w:val="7DEC33C4"/>
    <w:rsid w:val="7E244B2B"/>
    <w:rsid w:val="7EBC6DC8"/>
    <w:rsid w:val="7EEB5AA4"/>
    <w:rsid w:val="7F514320"/>
    <w:rsid w:val="7F8B7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9CB2128"/>
  <w15:docId w15:val="{0D4670DE-6EF2-9840-8F6A-024FBC2F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widowControl w:val="0"/>
      <w:jc w:val="both"/>
    </w:pPr>
    <w:rPr>
      <w:kern w:val="2"/>
      <w:sz w:val="21"/>
    </w:rPr>
  </w:style>
  <w:style w:type="paragraph" w:styleId="1">
    <w:name w:val="heading 1"/>
    <w:basedOn w:val="a5"/>
    <w:next w:val="a5"/>
    <w:link w:val="10"/>
    <w:uiPriority w:val="9"/>
    <w:qFormat/>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TOC7">
    <w:name w:val="toc 7"/>
    <w:basedOn w:val="a5"/>
    <w:next w:val="a5"/>
    <w:uiPriority w:val="39"/>
    <w:semiHidden/>
    <w:unhideWhenUsed/>
    <w:qFormat/>
    <w:pPr>
      <w:ind w:left="1260"/>
      <w:jc w:val="left"/>
    </w:pPr>
    <w:rPr>
      <w:rFonts w:asciiTheme="minorHAnsi" w:hAnsiTheme="minorHAnsi"/>
      <w:sz w:val="18"/>
      <w:szCs w:val="18"/>
    </w:rPr>
  </w:style>
  <w:style w:type="paragraph" w:styleId="a9">
    <w:name w:val="annotation text"/>
    <w:basedOn w:val="a5"/>
    <w:link w:val="aa"/>
    <w:qFormat/>
    <w:pPr>
      <w:adjustRightInd w:val="0"/>
      <w:spacing w:line="360" w:lineRule="atLeast"/>
      <w:jc w:val="left"/>
      <w:textAlignment w:val="baseline"/>
    </w:pPr>
    <w:rPr>
      <w:kern w:val="0"/>
      <w:sz w:val="28"/>
    </w:rPr>
  </w:style>
  <w:style w:type="paragraph" w:styleId="ab">
    <w:name w:val="Body Text Indent"/>
    <w:basedOn w:val="a5"/>
    <w:link w:val="ac"/>
    <w:qFormat/>
    <w:pPr>
      <w:adjustRightInd w:val="0"/>
      <w:spacing w:line="360" w:lineRule="auto"/>
      <w:ind w:firstLine="420"/>
      <w:jc w:val="left"/>
      <w:textAlignment w:val="baseline"/>
    </w:pPr>
    <w:rPr>
      <w:kern w:val="0"/>
    </w:rPr>
  </w:style>
  <w:style w:type="paragraph" w:styleId="TOC5">
    <w:name w:val="toc 5"/>
    <w:basedOn w:val="a5"/>
    <w:next w:val="a5"/>
    <w:uiPriority w:val="39"/>
    <w:semiHidden/>
    <w:unhideWhenUsed/>
    <w:qFormat/>
    <w:pPr>
      <w:ind w:left="840"/>
      <w:jc w:val="left"/>
    </w:pPr>
    <w:rPr>
      <w:rFonts w:asciiTheme="minorHAnsi" w:hAnsiTheme="minorHAnsi"/>
      <w:sz w:val="18"/>
      <w:szCs w:val="18"/>
    </w:rPr>
  </w:style>
  <w:style w:type="paragraph" w:styleId="TOC3">
    <w:name w:val="toc 3"/>
    <w:basedOn w:val="a5"/>
    <w:next w:val="a5"/>
    <w:uiPriority w:val="39"/>
    <w:semiHidden/>
    <w:unhideWhenUsed/>
    <w:qFormat/>
    <w:pPr>
      <w:ind w:left="420"/>
      <w:jc w:val="left"/>
    </w:pPr>
    <w:rPr>
      <w:rFonts w:asciiTheme="minorHAnsi" w:hAnsiTheme="minorHAnsi"/>
      <w:i/>
      <w:iCs/>
      <w:sz w:val="20"/>
    </w:rPr>
  </w:style>
  <w:style w:type="paragraph" w:styleId="TOC8">
    <w:name w:val="toc 8"/>
    <w:basedOn w:val="a5"/>
    <w:next w:val="a5"/>
    <w:uiPriority w:val="39"/>
    <w:semiHidden/>
    <w:unhideWhenUsed/>
    <w:qFormat/>
    <w:pPr>
      <w:ind w:left="1470"/>
      <w:jc w:val="left"/>
    </w:pPr>
    <w:rPr>
      <w:rFonts w:asciiTheme="minorHAnsi" w:hAnsiTheme="minorHAnsi"/>
      <w:sz w:val="18"/>
      <w:szCs w:val="18"/>
    </w:rPr>
  </w:style>
  <w:style w:type="paragraph" w:styleId="ad">
    <w:name w:val="Balloon Text"/>
    <w:basedOn w:val="a5"/>
    <w:link w:val="ae"/>
    <w:uiPriority w:val="99"/>
    <w:semiHidden/>
    <w:unhideWhenUsed/>
    <w:qFormat/>
    <w:rPr>
      <w:sz w:val="18"/>
      <w:szCs w:val="18"/>
    </w:rPr>
  </w:style>
  <w:style w:type="paragraph" w:styleId="af">
    <w:name w:val="footer"/>
    <w:basedOn w:val="a5"/>
    <w:link w:val="af0"/>
    <w:uiPriority w:val="99"/>
    <w:unhideWhenUsed/>
    <w:qFormat/>
    <w:pPr>
      <w:tabs>
        <w:tab w:val="center" w:pos="4153"/>
        <w:tab w:val="right" w:pos="8306"/>
      </w:tabs>
      <w:snapToGrid w:val="0"/>
      <w:jc w:val="left"/>
    </w:pPr>
    <w:rPr>
      <w:sz w:val="18"/>
      <w:szCs w:val="18"/>
    </w:rPr>
  </w:style>
  <w:style w:type="paragraph" w:styleId="af1">
    <w:name w:val="header"/>
    <w:basedOn w:val="a5"/>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5"/>
    <w:next w:val="a5"/>
    <w:uiPriority w:val="39"/>
    <w:qFormat/>
    <w:pPr>
      <w:spacing w:before="120" w:after="120"/>
      <w:jc w:val="left"/>
    </w:pPr>
    <w:rPr>
      <w:rFonts w:asciiTheme="minorHAnsi" w:hAnsiTheme="minorHAnsi"/>
      <w:b/>
      <w:bCs/>
      <w:caps/>
      <w:sz w:val="20"/>
    </w:rPr>
  </w:style>
  <w:style w:type="paragraph" w:styleId="TOC4">
    <w:name w:val="toc 4"/>
    <w:basedOn w:val="a5"/>
    <w:next w:val="a5"/>
    <w:uiPriority w:val="39"/>
    <w:semiHidden/>
    <w:unhideWhenUsed/>
    <w:qFormat/>
    <w:pPr>
      <w:ind w:left="630"/>
      <w:jc w:val="left"/>
    </w:pPr>
    <w:rPr>
      <w:rFonts w:asciiTheme="minorHAnsi" w:hAnsiTheme="minorHAnsi"/>
      <w:sz w:val="18"/>
      <w:szCs w:val="18"/>
    </w:rPr>
  </w:style>
  <w:style w:type="paragraph" w:styleId="TOC6">
    <w:name w:val="toc 6"/>
    <w:basedOn w:val="a5"/>
    <w:next w:val="a5"/>
    <w:uiPriority w:val="39"/>
    <w:semiHidden/>
    <w:unhideWhenUsed/>
    <w:qFormat/>
    <w:pPr>
      <w:ind w:left="1050"/>
      <w:jc w:val="left"/>
    </w:pPr>
    <w:rPr>
      <w:rFonts w:asciiTheme="minorHAnsi" w:hAnsiTheme="minorHAnsi"/>
      <w:sz w:val="18"/>
      <w:szCs w:val="18"/>
    </w:rPr>
  </w:style>
  <w:style w:type="paragraph" w:styleId="TOC2">
    <w:name w:val="toc 2"/>
    <w:basedOn w:val="a5"/>
    <w:next w:val="a5"/>
    <w:uiPriority w:val="39"/>
    <w:qFormat/>
    <w:pPr>
      <w:ind w:left="210"/>
      <w:jc w:val="left"/>
    </w:pPr>
    <w:rPr>
      <w:rFonts w:asciiTheme="minorHAnsi" w:hAnsiTheme="minorHAnsi"/>
      <w:smallCaps/>
      <w:sz w:val="20"/>
    </w:rPr>
  </w:style>
  <w:style w:type="paragraph" w:styleId="TOC9">
    <w:name w:val="toc 9"/>
    <w:basedOn w:val="a5"/>
    <w:next w:val="a5"/>
    <w:uiPriority w:val="39"/>
    <w:semiHidden/>
    <w:unhideWhenUsed/>
    <w:qFormat/>
    <w:pPr>
      <w:ind w:left="1680"/>
      <w:jc w:val="left"/>
    </w:pPr>
    <w:rPr>
      <w:rFonts w:asciiTheme="minorHAnsi" w:hAnsiTheme="minorHAnsi"/>
      <w:sz w:val="18"/>
      <w:szCs w:val="18"/>
    </w:rPr>
  </w:style>
  <w:style w:type="paragraph" w:styleId="af3">
    <w:name w:val="annotation subject"/>
    <w:basedOn w:val="a9"/>
    <w:next w:val="a9"/>
    <w:link w:val="af4"/>
    <w:uiPriority w:val="99"/>
    <w:semiHidden/>
    <w:unhideWhenUsed/>
    <w:qFormat/>
    <w:pPr>
      <w:adjustRightInd/>
      <w:spacing w:line="240" w:lineRule="auto"/>
      <w:textAlignment w:val="auto"/>
    </w:pPr>
    <w:rPr>
      <w:b/>
      <w:bCs/>
      <w:kern w:val="2"/>
      <w:sz w:val="21"/>
    </w:rPr>
  </w:style>
  <w:style w:type="character" w:styleId="af5">
    <w:name w:val="Hyperlink"/>
    <w:uiPriority w:val="99"/>
    <w:qFormat/>
    <w:rPr>
      <w:color w:val="0000FF"/>
      <w:u w:val="single"/>
    </w:rPr>
  </w:style>
  <w:style w:type="character" w:styleId="af6">
    <w:name w:val="annotation reference"/>
    <w:qFormat/>
    <w:rPr>
      <w:sz w:val="21"/>
      <w:szCs w:val="21"/>
    </w:rPr>
  </w:style>
  <w:style w:type="paragraph" w:styleId="af7">
    <w:name w:val="List Paragraph"/>
    <w:basedOn w:val="a5"/>
    <w:uiPriority w:val="34"/>
    <w:qFormat/>
    <w:pPr>
      <w:ind w:firstLineChars="200" w:firstLine="420"/>
    </w:pPr>
  </w:style>
  <w:style w:type="character" w:customStyle="1" w:styleId="af2">
    <w:name w:val="页眉 字符"/>
    <w:basedOn w:val="a6"/>
    <w:link w:val="af1"/>
    <w:uiPriority w:val="99"/>
    <w:qFormat/>
    <w:rPr>
      <w:rFonts w:ascii="Times New Roman" w:eastAsia="宋体" w:hAnsi="Times New Roman" w:cs="Times New Roman"/>
      <w:sz w:val="18"/>
      <w:szCs w:val="18"/>
    </w:rPr>
  </w:style>
  <w:style w:type="character" w:customStyle="1" w:styleId="af0">
    <w:name w:val="页脚 字符"/>
    <w:basedOn w:val="a6"/>
    <w:link w:val="af"/>
    <w:uiPriority w:val="99"/>
    <w:qFormat/>
    <w:rPr>
      <w:rFonts w:ascii="Times New Roman" w:eastAsia="宋体" w:hAnsi="Times New Roman" w:cs="Times New Roman"/>
      <w:sz w:val="18"/>
      <w:szCs w:val="18"/>
    </w:rPr>
  </w:style>
  <w:style w:type="character" w:customStyle="1" w:styleId="ae">
    <w:name w:val="批注框文本 字符"/>
    <w:basedOn w:val="a6"/>
    <w:link w:val="ad"/>
    <w:uiPriority w:val="99"/>
    <w:semiHidden/>
    <w:qFormat/>
    <w:rPr>
      <w:rFonts w:ascii="Times New Roman" w:eastAsia="宋体" w:hAnsi="Times New Roman" w:cs="Times New Roman"/>
      <w:sz w:val="18"/>
      <w:szCs w:val="18"/>
    </w:rPr>
  </w:style>
  <w:style w:type="character" w:customStyle="1" w:styleId="Char">
    <w:name w:val="批注文字 Char"/>
    <w:basedOn w:val="a6"/>
    <w:uiPriority w:val="99"/>
    <w:semiHidden/>
    <w:qFormat/>
    <w:rPr>
      <w:rFonts w:ascii="Times New Roman" w:eastAsia="宋体" w:hAnsi="Times New Roman" w:cs="Times New Roman"/>
      <w:szCs w:val="20"/>
    </w:rPr>
  </w:style>
  <w:style w:type="character" w:customStyle="1" w:styleId="aa">
    <w:name w:val="批注文字 字符"/>
    <w:link w:val="a9"/>
    <w:qFormat/>
    <w:rPr>
      <w:rFonts w:ascii="Times New Roman" w:eastAsia="宋体" w:hAnsi="Times New Roman" w:cs="Times New Roman"/>
      <w:kern w:val="0"/>
      <w:sz w:val="28"/>
      <w:szCs w:val="20"/>
    </w:rPr>
  </w:style>
  <w:style w:type="character" w:customStyle="1" w:styleId="ac">
    <w:name w:val="正文文本缩进 字符"/>
    <w:basedOn w:val="a6"/>
    <w:link w:val="ab"/>
    <w:qFormat/>
    <w:rPr>
      <w:rFonts w:ascii="Times New Roman" w:eastAsia="宋体" w:hAnsi="Times New Roman" w:cs="Times New Roman"/>
      <w:kern w:val="0"/>
      <w:szCs w:val="20"/>
    </w:rPr>
  </w:style>
  <w:style w:type="character" w:customStyle="1" w:styleId="10">
    <w:name w:val="标题 1 字符"/>
    <w:basedOn w:val="a6"/>
    <w:link w:val="1"/>
    <w:uiPriority w:val="9"/>
    <w:qFormat/>
    <w:rPr>
      <w:rFonts w:ascii="Times New Roman" w:eastAsia="宋体" w:hAnsi="Times New Roman" w:cs="Times New Roman"/>
      <w:b/>
      <w:bCs/>
      <w:kern w:val="44"/>
      <w:sz w:val="44"/>
      <w:szCs w:val="44"/>
    </w:rPr>
  </w:style>
  <w:style w:type="paragraph" w:customStyle="1" w:styleId="TOC10">
    <w:name w:val="TOC 标题1"/>
    <w:basedOn w:val="1"/>
    <w:next w:val="a5"/>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af8">
    <w:name w:val="表格"/>
    <w:basedOn w:val="a5"/>
    <w:qFormat/>
    <w:pPr>
      <w:adjustRightInd w:val="0"/>
      <w:snapToGrid w:val="0"/>
      <w:spacing w:after="60" w:line="400" w:lineRule="atLeast"/>
      <w:jc w:val="center"/>
      <w:textAlignment w:val="center"/>
    </w:pPr>
    <w:rPr>
      <w:kern w:val="0"/>
    </w:rPr>
  </w:style>
  <w:style w:type="paragraph" w:customStyle="1" w:styleId="af9">
    <w:name w:val="一级条标题"/>
    <w:next w:val="a5"/>
    <w:qFormat/>
    <w:pPr>
      <w:spacing w:beforeLines="50" w:afterLines="50"/>
      <w:outlineLvl w:val="2"/>
    </w:pPr>
    <w:rPr>
      <w:rFonts w:ascii="黑体" w:eastAsia="黑体"/>
      <w:sz w:val="21"/>
      <w:szCs w:val="21"/>
    </w:rPr>
  </w:style>
  <w:style w:type="paragraph" w:customStyle="1" w:styleId="a">
    <w:name w:val="二级条标题"/>
    <w:basedOn w:val="af9"/>
    <w:next w:val="a5"/>
    <w:qFormat/>
    <w:pPr>
      <w:numPr>
        <w:ilvl w:val="2"/>
        <w:numId w:val="1"/>
      </w:numPr>
      <w:spacing w:before="50" w:after="50"/>
      <w:outlineLvl w:val="3"/>
    </w:pPr>
    <w:rPr>
      <w:rFonts w:ascii="Times New Roman" w:eastAsia="宋体"/>
    </w:rPr>
  </w:style>
  <w:style w:type="paragraph" w:customStyle="1" w:styleId="a3">
    <w:name w:val="三级条标题"/>
    <w:basedOn w:val="a"/>
    <w:next w:val="a5"/>
    <w:qFormat/>
    <w:pPr>
      <w:numPr>
        <w:ilvl w:val="1"/>
        <w:numId w:val="2"/>
      </w:numPr>
      <w:outlineLvl w:val="4"/>
    </w:pPr>
  </w:style>
  <w:style w:type="paragraph" w:customStyle="1" w:styleId="a2">
    <w:name w:val="列项——（一级）"/>
    <w:qFormat/>
    <w:pPr>
      <w:widowControl w:val="0"/>
      <w:numPr>
        <w:numId w:val="2"/>
      </w:numPr>
      <w:jc w:val="both"/>
    </w:pPr>
    <w:rPr>
      <w:rFonts w:ascii="宋体"/>
      <w:sz w:val="21"/>
    </w:rPr>
  </w:style>
  <w:style w:type="paragraph" w:customStyle="1" w:styleId="a4">
    <w:name w:val="列项◆（三级）"/>
    <w:basedOn w:val="a5"/>
    <w:qFormat/>
    <w:pPr>
      <w:widowControl/>
      <w:numPr>
        <w:ilvl w:val="2"/>
        <w:numId w:val="2"/>
      </w:numPr>
      <w:jc w:val="left"/>
    </w:pPr>
    <w:rPr>
      <w:rFonts w:ascii="宋体"/>
      <w:kern w:val="0"/>
      <w:sz w:val="24"/>
      <w:szCs w:val="21"/>
    </w:rPr>
  </w:style>
  <w:style w:type="paragraph" w:customStyle="1" w:styleId="a0">
    <w:name w:val="字母编号列项（一级）"/>
    <w:qFormat/>
    <w:pPr>
      <w:numPr>
        <w:numId w:val="3"/>
      </w:numPr>
      <w:jc w:val="both"/>
    </w:pPr>
    <w:rPr>
      <w:rFonts w:ascii="宋体"/>
      <w:sz w:val="21"/>
    </w:rPr>
  </w:style>
  <w:style w:type="paragraph" w:customStyle="1" w:styleId="a1">
    <w:name w:val="数字编号列项（二级）"/>
    <w:qFormat/>
    <w:pPr>
      <w:numPr>
        <w:ilvl w:val="1"/>
        <w:numId w:val="3"/>
      </w:numPr>
      <w:jc w:val="both"/>
    </w:pPr>
    <w:rPr>
      <w:rFonts w:ascii="宋体"/>
      <w:sz w:val="21"/>
    </w:rPr>
  </w:style>
  <w:style w:type="character" w:customStyle="1" w:styleId="x3e4">
    <w:name w:val="x3e4"/>
    <w:basedOn w:val="a6"/>
    <w:qFormat/>
    <w:rPr>
      <w:color w:val="FFFFCC"/>
    </w:rPr>
  </w:style>
  <w:style w:type="character" w:customStyle="1" w:styleId="poradisabled4">
    <w:name w:val="p_oradisabled4"/>
    <w:basedOn w:val="a6"/>
    <w:qFormat/>
    <w:rPr>
      <w:color w:val="FFFFCC"/>
    </w:rPr>
  </w:style>
  <w:style w:type="character" w:customStyle="1" w:styleId="oralinkdisabled2">
    <w:name w:val="oralinkdisabled2"/>
    <w:basedOn w:val="a6"/>
    <w:qFormat/>
  </w:style>
  <w:style w:type="character" w:customStyle="1" w:styleId="xi3">
    <w:name w:val="xi3"/>
    <w:basedOn w:val="a6"/>
    <w:qFormat/>
  </w:style>
  <w:style w:type="character" w:customStyle="1" w:styleId="af4">
    <w:name w:val="批注主题 字符"/>
    <w:basedOn w:val="aa"/>
    <w:link w:val="af3"/>
    <w:uiPriority w:val="99"/>
    <w:semiHidden/>
    <w:qFormat/>
    <w:rPr>
      <w:rFonts w:ascii="Times New Roman" w:eastAsia="宋体" w:hAnsi="Times New Roman" w:cs="Times New Roman"/>
      <w:b/>
      <w:bCs/>
      <w:kern w:val="2"/>
      <w:sz w:val="21"/>
      <w:szCs w:val="20"/>
    </w:rPr>
  </w:style>
  <w:style w:type="paragraph" w:customStyle="1" w:styleId="11">
    <w:name w:val="修订1"/>
    <w:hidden/>
    <w:uiPriority w:val="99"/>
    <w:semiHidden/>
    <w:qFormat/>
    <w:rPr>
      <w:kern w:val="2"/>
      <w:sz w:val="21"/>
    </w:rPr>
  </w:style>
  <w:style w:type="paragraph" w:customStyle="1" w:styleId="afa">
    <w:name w:val="标准文件_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DB6F800-7FF7-43E9-B008-B8A8FC34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1188</Words>
  <Characters>6775</Characters>
  <Application>Microsoft Office Word</Application>
  <DocSecurity>0</DocSecurity>
  <Lines>56</Lines>
  <Paragraphs>15</Paragraphs>
  <ScaleCrop>false</ScaleCrop>
  <Company>Microsoft</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宁 赵</cp:lastModifiedBy>
  <cp:revision>13</cp:revision>
  <dcterms:created xsi:type="dcterms:W3CDTF">2025-06-22T15:03:00Z</dcterms:created>
  <dcterms:modified xsi:type="dcterms:W3CDTF">2025-09-14T09:17:00Z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KSOTemplateDocerSaveRecord">
    <vt:lpwstr>eyJoZGlkIjoiMjBkYjFhMGM4YWQ5MTFiMzlkNGU5NWM1MjlkMzA2NjMifQ==</vt:lpwstr>
  </property>
  <property fmtid="{D5CDD505-2E9C-101B-9397-08002B2CF9AE}" pid="4" name="ICV">
    <vt:lpwstr>86EA296CE5B642D9A9EDBC0432ECEC06_13</vt:lpwstr>
  </property>
</Properties>
</file>