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6B289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BEB47FC">
            <w:pPr>
              <w:pStyle w:val="20"/>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1B4D6962">
            <w:pPr>
              <w:pStyle w:val="20"/>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03.220.40"/>
                  </w:textInput>
                </w:ffData>
              </w:fldChar>
            </w:r>
            <w:r>
              <w:rPr>
                <w:rFonts w:ascii="黑体" w:hAnsi="黑体" w:eastAsia="黑体"/>
                <w:sz w:val="21"/>
                <w:szCs w:val="21"/>
              </w:rPr>
              <w:instrText xml:space="preserve">FORMTEXT</w:instrText>
            </w:r>
            <w:r>
              <w:rPr>
                <w:rFonts w:ascii="黑体" w:hAnsi="黑体" w:eastAsia="黑体"/>
                <w:sz w:val="21"/>
                <w:szCs w:val="21"/>
              </w:rPr>
              <w:fldChar w:fldCharType="separate"/>
            </w:r>
            <w:r>
              <w:rPr>
                <w:rFonts w:ascii="黑体" w:hAnsi="黑体" w:eastAsia="黑体"/>
                <w:sz w:val="21"/>
                <w:szCs w:val="21"/>
              </w:rPr>
              <w:t>03.220.40</w:t>
            </w:r>
            <w:r>
              <w:rPr>
                <w:rFonts w:ascii="黑体" w:hAnsi="黑体" w:eastAsia="黑体"/>
                <w:sz w:val="21"/>
                <w:szCs w:val="21"/>
              </w:rPr>
              <w:fldChar w:fldCharType="end"/>
            </w:r>
          </w:p>
        </w:tc>
      </w:tr>
      <w:tr w14:paraId="585301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8DFD129">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tbl>
            <w:tblPr>
              <w:tblStyle w:val="29"/>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4009357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10A231D2">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fldChar w:fldCharType="begin">
                      <w:ffData>
                        <w:name w:val="c1"/>
                        <w:enabled/>
                        <w:calcOnExit w:val="0"/>
                        <w:textInput>
                          <w:maxLength w:val="7"/>
                        </w:textInput>
                      </w:ffData>
                    </w:fldChar>
                  </w:r>
                  <w:bookmarkStart w:id="0" w:name="c1"/>
                  <w:r>
                    <w:instrText xml:space="preserve"> FORMTEXT </w:instrText>
                  </w:r>
                  <w:r>
                    <w:fldChar w:fldCharType="separate"/>
                  </w:r>
                  <w:r>
                    <w:t>CPHA</w:t>
                  </w:r>
                  <w:r>
                    <w:fldChar w:fldCharType="end"/>
                  </w:r>
                  <w:bookmarkEnd w:id="0"/>
                </w:p>
              </w:tc>
            </w:tr>
          </w:tbl>
          <w:p w14:paraId="4B77D903">
            <w:pPr>
              <w:pStyle w:val="20"/>
              <w:framePr w:wrap="notBeside" w:vAnchor="page" w:hAnchor="page" w:x="1372" w:y="568"/>
              <w:tabs>
                <w:tab w:val="clear" w:pos="4153"/>
                <w:tab w:val="clear" w:pos="8306"/>
              </w:tabs>
              <w:spacing w:before="40" w:line="240" w:lineRule="auto"/>
              <w:jc w:val="left"/>
              <w:rPr>
                <w:rFonts w:ascii="黑体" w:hAnsi="黑体" w:eastAsia="黑体"/>
                <w:sz w:val="21"/>
                <w:szCs w:val="21"/>
              </w:rPr>
            </w:pPr>
            <w:bookmarkStart w:id="1" w:name="CSDN"/>
            <w:r>
              <w:rPr>
                <w:rFonts w:ascii="黑体" w:hAnsi="黑体" w:eastAsia="黑体"/>
                <w:sz w:val="21"/>
                <w:szCs w:val="21"/>
              </w:rPr>
              <w:fldChar w:fldCharType="begin">
                <w:ffData>
                  <w:name w:val="CSDN"/>
                  <w:enabled/>
                  <w:calcOnExit w:val="0"/>
                  <w:textInput>
                    <w:default w:val="R43"/>
                  </w:textInput>
                </w:ffData>
              </w:fldChar>
            </w:r>
            <w:r>
              <w:rPr>
                <w:rFonts w:ascii="黑体" w:hAnsi="黑体" w:eastAsia="黑体"/>
                <w:sz w:val="21"/>
                <w:szCs w:val="21"/>
              </w:rPr>
              <w:instrText xml:space="preserve">FORMTEXT</w:instrText>
            </w:r>
            <w:r>
              <w:rPr>
                <w:rFonts w:ascii="黑体" w:hAnsi="黑体" w:eastAsia="黑体"/>
                <w:sz w:val="21"/>
                <w:szCs w:val="21"/>
              </w:rPr>
              <w:fldChar w:fldCharType="separate"/>
            </w:r>
            <w:r>
              <w:rPr>
                <w:rFonts w:ascii="黑体" w:hAnsi="黑体" w:eastAsia="黑体"/>
                <w:sz w:val="21"/>
                <w:szCs w:val="21"/>
              </w:rPr>
              <w:t>R4</w:t>
            </w:r>
            <w:r>
              <w:rPr>
                <w:rFonts w:ascii="黑体" w:hAnsi="黑体" w:eastAsia="黑体"/>
                <w:sz w:val="21"/>
                <w:szCs w:val="21"/>
              </w:rPr>
              <w:fldChar w:fldCharType="end"/>
            </w:r>
            <w:bookmarkEnd w:id="1"/>
            <w:r>
              <w:rPr>
                <w:rFonts w:hint="eastAsia" w:ascii="黑体" w:hAnsi="黑体" w:eastAsia="黑体"/>
                <w:sz w:val="21"/>
                <w:szCs w:val="21"/>
              </w:rPr>
              <w:t>1</w:t>
            </w:r>
          </w:p>
        </w:tc>
      </w:tr>
    </w:tbl>
    <w:p w14:paraId="3F7D060D">
      <w:pPr>
        <w:pStyle w:val="53"/>
        <w:framePr w:w="9639" w:h="624" w:hRule="exact" w:hSpace="181" w:vSpace="181" w:wrap="around" w:hAnchor="page" w:x="1305" w:y="2269"/>
        <w:rPr>
          <w:rFonts w:ascii="黑体" w:hAnsi="黑体" w:eastAsia="黑体"/>
          <w:b w:val="0"/>
          <w:bCs w:val="0"/>
          <w:w w:val="100"/>
          <w:sz w:val="48"/>
          <w:szCs w:val="48"/>
        </w:rPr>
      </w:pPr>
      <w:bookmarkStart w:id="2" w:name="_Hlk26473981"/>
      <w:r>
        <w:rPr>
          <w:rFonts w:hint="eastAsia" w:ascii="黑体" w:eastAsia="黑体"/>
          <w:b w:val="0"/>
          <w:w w:val="100"/>
          <w:sz w:val="48"/>
        </w:rPr>
        <w:t>中国港口协会团体</w:t>
      </w:r>
      <w:r>
        <w:rPr>
          <w:rFonts w:hint="eastAsia" w:ascii="黑体" w:hAnsi="黑体" w:eastAsia="黑体"/>
          <w:b w:val="0"/>
          <w:bCs w:val="0"/>
          <w:w w:val="100"/>
          <w:sz w:val="48"/>
          <w:szCs w:val="48"/>
        </w:rPr>
        <w:t>标准</w:t>
      </w:r>
    </w:p>
    <w:bookmarkEnd w:id="2"/>
    <w:p w14:paraId="6B6526D5">
      <w:pPr>
        <w:pStyle w:val="198"/>
      </w:pPr>
      <w:r>
        <w:t>T/</w:t>
      </w:r>
      <w:r>
        <w:fldChar w:fldCharType="begin">
          <w:ffData>
            <w:name w:val="文字1"/>
            <w:enabled/>
            <w:calcOnExit w:val="0"/>
            <w:textInput>
              <w:default w:val="CPHA"/>
            </w:textInput>
          </w:ffData>
        </w:fldChar>
      </w:r>
      <w:bookmarkStart w:id="3" w:name="文字1"/>
      <w:r>
        <w:instrText xml:space="preserve"> FORMTEXT </w:instrText>
      </w:r>
      <w:r>
        <w:fldChar w:fldCharType="separate"/>
      </w:r>
      <w:r>
        <w:t>CPHA</w:t>
      </w:r>
      <w:r>
        <w:fldChar w:fldCharType="end"/>
      </w:r>
      <w:bookmarkEnd w:id="3"/>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14:paraId="15621133">
      <w:pPr>
        <w:pStyle w:val="199"/>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4EBD843E">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024F28B1">
      <w:pPr>
        <w:pStyle w:val="53"/>
        <w:framePr w:w="9639" w:h="6976" w:hRule="exact" w:hSpace="0" w:vSpace="0" w:wrap="around" w:hAnchor="page" w:y="6408"/>
        <w:jc w:val="center"/>
        <w:rPr>
          <w:rFonts w:ascii="黑体" w:hAnsi="黑体" w:eastAsia="黑体"/>
          <w:b w:val="0"/>
          <w:bCs w:val="0"/>
          <w:w w:val="100"/>
        </w:rPr>
      </w:pPr>
    </w:p>
    <w:p w14:paraId="20AC2E6D">
      <w:pPr>
        <w:pStyle w:val="200"/>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集装箱码头</w:t>
      </w:r>
      <w:r>
        <w:rPr>
          <w:rFonts w:hint="eastAsia"/>
        </w:rPr>
        <w:t>自动驾驶</w:t>
      </w:r>
      <w:r>
        <w:t>车队</w:t>
      </w:r>
      <w:r>
        <w:rPr>
          <w:rFonts w:hint="eastAsia"/>
        </w:rPr>
        <w:t>智能</w:t>
      </w:r>
      <w:r>
        <w:t>调度</w:t>
      </w:r>
      <w:r>
        <w:cr/>
      </w:r>
      <w:r>
        <w:t>管理系统技术要求</w:t>
      </w:r>
      <w:r>
        <w:fldChar w:fldCharType="end"/>
      </w:r>
      <w:bookmarkEnd w:id="7"/>
    </w:p>
    <w:p w14:paraId="594C7BDE">
      <w:pPr>
        <w:framePr w:w="9639" w:h="6974" w:hRule="exact" w:wrap="around" w:vAnchor="page" w:hAnchor="page" w:x="1419" w:y="6408" w:anchorLock="1"/>
        <w:ind w:left="-1418"/>
      </w:pPr>
    </w:p>
    <w:p w14:paraId="0C1E3F3C">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eastAsia="黑体"/>
          <w:szCs w:val="28"/>
        </w:rPr>
        <w:t xml:space="preserve">Technology requirements for </w:t>
      </w:r>
      <w:r>
        <w:rPr>
          <w:rFonts w:hint="eastAsia" w:eastAsia="黑体"/>
          <w:szCs w:val="28"/>
        </w:rPr>
        <w:t xml:space="preserve">intelligent </w:t>
      </w:r>
      <w:r>
        <w:rPr>
          <w:rFonts w:eastAsia="黑体"/>
          <w:szCs w:val="28"/>
        </w:rPr>
        <w:t xml:space="preserve">dispatching and management system of container terminal </w:t>
      </w:r>
      <w:r>
        <w:rPr>
          <w:rFonts w:hint="eastAsia" w:eastAsia="黑体"/>
          <w:szCs w:val="28"/>
        </w:rPr>
        <w:t>autonomous driving fleet</w:t>
      </w:r>
      <w:r>
        <w:rPr>
          <w:rFonts w:eastAsia="黑体"/>
          <w:szCs w:val="28"/>
        </w:rPr>
        <w:fldChar w:fldCharType="end"/>
      </w:r>
      <w:bookmarkEnd w:id="8"/>
    </w:p>
    <w:p w14:paraId="6A3C84FC">
      <w:pPr>
        <w:framePr w:w="9639" w:h="6974" w:hRule="exact" w:wrap="around" w:vAnchor="page" w:hAnchor="page" w:x="1419" w:y="6408" w:anchorLock="1"/>
        <w:spacing w:line="760" w:lineRule="exact"/>
        <w:ind w:left="-1418"/>
      </w:pPr>
    </w:p>
    <w:p w14:paraId="561B5B71">
      <w:pPr>
        <w:pStyle w:val="128"/>
        <w:framePr w:w="9639" w:h="6974" w:hRule="exact" w:wrap="around" w:vAnchor="page" w:hAnchor="page" w:x="1419" w:y="6408" w:anchorLock="1"/>
        <w:textAlignment w:val="bottom"/>
        <w:rPr>
          <w:rFonts w:eastAsia="黑体"/>
          <w:szCs w:val="28"/>
        </w:rPr>
      </w:pPr>
    </w:p>
    <w:p w14:paraId="43CAF054">
      <w:pPr>
        <w:pStyle w:val="128"/>
        <w:framePr w:w="9639" w:h="6974" w:hRule="exact" w:wrap="around" w:vAnchor="page" w:hAnchor="page" w:x="1419" w:y="6408" w:anchorLock="1"/>
        <w:spacing w:before="440" w:after="160"/>
        <w:textAlignment w:val="bottom"/>
        <w:rPr>
          <w:sz w:val="24"/>
          <w:szCs w:val="28"/>
        </w:rPr>
      </w:pPr>
      <w:bookmarkStart w:id="9" w:name="下拉1"/>
      <w:r>
        <w:rPr>
          <w:rFonts w:hint="eastAsia"/>
          <w:sz w:val="24"/>
          <w:szCs w:val="28"/>
        </w:rPr>
        <w:t>征求意见稿</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r>
        <w:rPr>
          <w:sz w:val="24"/>
          <w:szCs w:val="28"/>
        </w:rPr>
        <w:instrText xml:space="preserve">FORMDROPDOWN</w:instrText>
      </w:r>
      <w:r>
        <w:rPr>
          <w:sz w:val="24"/>
          <w:szCs w:val="28"/>
        </w:rPr>
        <w:fldChar w:fldCharType="separate"/>
      </w:r>
      <w:r>
        <w:rPr>
          <w:sz w:val="24"/>
          <w:szCs w:val="28"/>
        </w:rPr>
        <w:fldChar w:fldCharType="end"/>
      </w:r>
      <w:bookmarkEnd w:id="9"/>
    </w:p>
    <w:p w14:paraId="0BF25CD7">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fldChar w:fldCharType="separate"/>
      </w:r>
      <w:r>
        <w:rPr>
          <w:rFonts w:hint="eastAsia"/>
          <w:sz w:val="21"/>
          <w:szCs w:val="28"/>
        </w:rPr>
        <w:t>（本文件完成时间：2</w:t>
      </w:r>
      <w:r>
        <w:rPr>
          <w:sz w:val="21"/>
          <w:szCs w:val="28"/>
        </w:rPr>
        <w:t>02</w:t>
      </w:r>
      <w:r>
        <w:rPr>
          <w:rFonts w:hint="eastAsia"/>
          <w:sz w:val="21"/>
          <w:szCs w:val="28"/>
        </w:rPr>
        <w:t>5</w:t>
      </w:r>
      <w:r>
        <w:rPr>
          <w:sz w:val="21"/>
          <w:szCs w:val="28"/>
        </w:rPr>
        <w:t>.9</w:t>
      </w:r>
      <w:r>
        <w:rPr>
          <w:rFonts w:hint="eastAsia"/>
          <w:sz w:val="21"/>
          <w:szCs w:val="28"/>
        </w:rPr>
        <w:t>）</w:t>
      </w:r>
      <w:r>
        <w:rPr>
          <w:sz w:val="21"/>
          <w:szCs w:val="28"/>
        </w:rPr>
        <w:fldChar w:fldCharType="end"/>
      </w:r>
      <w:bookmarkEnd w:id="10"/>
    </w:p>
    <w:p w14:paraId="56E5D751">
      <w:pPr>
        <w:pStyle w:val="128"/>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Pr>
          <w:b/>
          <w:sz w:val="21"/>
          <w:szCs w:val="28"/>
        </w:rPr>
        <w:fldChar w:fldCharType="separate"/>
      </w:r>
      <w:r>
        <w:rPr>
          <w:b/>
          <w:sz w:val="21"/>
          <w:szCs w:val="28"/>
        </w:rPr>
        <w:fldChar w:fldCharType="end"/>
      </w:r>
      <w:bookmarkEnd w:id="11"/>
    </w:p>
    <w:p w14:paraId="2447AE59">
      <w:pPr>
        <w:pStyle w:val="196"/>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2"/>
      <w:r>
        <w:rPr>
          <w:rFonts w:ascii="黑体"/>
        </w:rPr>
        <w:t>-</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ascii="黑体"/>
        </w:rPr>
        <w:t>-</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rPr>
          <w:rFonts w:hint="eastAsia"/>
        </w:rPr>
        <w:t>发布</w:t>
      </w:r>
    </w:p>
    <w:p w14:paraId="68DA3FAE">
      <w:pPr>
        <w:pStyle w:val="197"/>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rPr>
          <w:rFonts w:ascii="黑体"/>
        </w:rPr>
        <w:t>-</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ascii="黑体"/>
        </w:rPr>
        <w:t>-</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实施</w:t>
      </w:r>
    </w:p>
    <w:p w14:paraId="1F71A8F7">
      <w:pPr>
        <w:pStyle w:val="154"/>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中国港口</w:t>
      </w:r>
      <w:r>
        <w:rPr>
          <w:rFonts w:hAnsi="黑体"/>
          <w:w w:val="100"/>
          <w:sz w:val="28"/>
        </w:rPr>
        <w:t>协会</w:t>
      </w:r>
      <w:r>
        <w:rPr>
          <w:rFonts w:hAnsi="黑体"/>
          <w:w w:val="100"/>
          <w:sz w:val="28"/>
        </w:rPr>
        <w:fldChar w:fldCharType="end"/>
      </w:r>
      <w:bookmarkEnd w:id="18"/>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3309137C">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2D79662C">
      <w:pPr>
        <w:pStyle w:val="94"/>
        <w:spacing w:after="360"/>
      </w:pPr>
      <w:bookmarkStart w:id="19" w:name="BookMark1"/>
      <w:r>
        <w:rPr>
          <w:spacing w:val="320"/>
        </w:rPr>
        <w:t>目</w:t>
      </w:r>
      <w:r>
        <w:t>次</w:t>
      </w:r>
    </w:p>
    <w:p w14:paraId="642CA3FD">
      <w:pPr>
        <w:pStyle w:val="21"/>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TOC \o "1-1" \h \t "标准文件_一级条标题,2,标准文件_附录一级条标题,2,"</w:instrText>
      </w:r>
      <w:r>
        <w:rPr>
          <w:rFonts w:hint="eastAsia" w:ascii="宋体" w:hAnsi="宋体" w:eastAsia="宋体" w:cs="宋体"/>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"_Toc12389" </w:instrText>
      </w:r>
      <w:r>
        <w:rPr>
          <w:rFonts w:hint="eastAsia" w:ascii="宋体" w:hAnsi="宋体" w:eastAsia="宋体" w:cs="宋体"/>
        </w:rPr>
        <w:fldChar w:fldCharType="separate"/>
      </w:r>
      <w:r>
        <w:rPr>
          <w:rFonts w:hint="eastAsia" w:ascii="宋体" w:hAnsi="宋体" w:eastAsia="宋体" w:cs="宋体"/>
        </w:rPr>
        <w:t>1 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_Toc12389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094DDBE7">
      <w:pPr>
        <w:pStyle w:val="21"/>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"_Toc23516" </w:instrText>
      </w:r>
      <w:r>
        <w:rPr>
          <w:rFonts w:hint="eastAsia" w:ascii="宋体" w:hAnsi="宋体" w:eastAsia="宋体" w:cs="宋体"/>
        </w:rPr>
        <w:fldChar w:fldCharType="separate"/>
      </w:r>
      <w:r>
        <w:rPr>
          <w:rFonts w:hint="eastAsia" w:ascii="宋体" w:hAnsi="宋体" w:eastAsia="宋体" w:cs="宋体"/>
        </w:rPr>
        <w:t>2 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_Toc23516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2D7312ED">
      <w:pPr>
        <w:pStyle w:val="21"/>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"_Toc9587" </w:instrText>
      </w:r>
      <w:r>
        <w:rPr>
          <w:rFonts w:hint="eastAsia" w:ascii="宋体" w:hAnsi="宋体" w:eastAsia="宋体" w:cs="宋体"/>
        </w:rPr>
        <w:fldChar w:fldCharType="separate"/>
      </w:r>
      <w:r>
        <w:rPr>
          <w:rFonts w:hint="eastAsia" w:ascii="宋体" w:hAnsi="宋体" w:eastAsia="宋体" w:cs="宋体"/>
        </w:rPr>
        <w:t>3 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_Toc9587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24C83887">
      <w:pPr>
        <w:pStyle w:val="21"/>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"_Toc19046" </w:instrText>
      </w:r>
      <w:r>
        <w:rPr>
          <w:rFonts w:hint="eastAsia" w:ascii="宋体" w:hAnsi="宋体" w:eastAsia="宋体" w:cs="宋体"/>
        </w:rPr>
        <w:fldChar w:fldCharType="separate"/>
      </w:r>
      <w:r>
        <w:rPr>
          <w:rFonts w:hint="eastAsia" w:ascii="宋体" w:hAnsi="宋体" w:eastAsia="宋体" w:cs="宋体"/>
        </w:rPr>
        <w:t>4 一般要求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_Toc19046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689D7B28">
      <w:pPr>
        <w:pStyle w:val="21"/>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"_Toc25944" </w:instrText>
      </w:r>
      <w:r>
        <w:rPr>
          <w:rFonts w:hint="eastAsia" w:ascii="宋体" w:hAnsi="宋体" w:eastAsia="宋体" w:cs="宋体"/>
        </w:rPr>
        <w:fldChar w:fldCharType="separate"/>
      </w:r>
      <w:r>
        <w:rPr>
          <w:rFonts w:hint="eastAsia" w:ascii="宋体" w:hAnsi="宋体" w:eastAsia="宋体" w:cs="宋体"/>
        </w:rPr>
        <w:t>5 信息交互</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_Toc25944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5EE58910">
      <w:pPr>
        <w:pStyle w:val="21"/>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"_Toc2641" </w:instrText>
      </w:r>
      <w:r>
        <w:rPr>
          <w:rFonts w:hint="eastAsia" w:ascii="宋体" w:hAnsi="宋体" w:eastAsia="宋体" w:cs="宋体"/>
        </w:rPr>
        <w:fldChar w:fldCharType="separate"/>
      </w:r>
      <w:r>
        <w:rPr>
          <w:rFonts w:hint="eastAsia" w:ascii="宋体" w:hAnsi="宋体" w:eastAsia="宋体" w:cs="宋体"/>
        </w:rPr>
        <w:t>6 作业调度与路径规划</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_Toc2641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72D47BF1">
      <w:pPr>
        <w:pStyle w:val="21"/>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"_Toc16490" </w:instrText>
      </w:r>
      <w:r>
        <w:rPr>
          <w:rFonts w:hint="eastAsia" w:ascii="宋体" w:hAnsi="宋体" w:eastAsia="宋体" w:cs="宋体"/>
        </w:rPr>
        <w:fldChar w:fldCharType="separate"/>
      </w:r>
      <w:r>
        <w:rPr>
          <w:rFonts w:hint="eastAsia" w:ascii="宋体" w:hAnsi="宋体" w:eastAsia="宋体" w:cs="宋体"/>
        </w:rPr>
        <w:t>7 车辆状态监控</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_Toc16490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4DB1379C">
      <w:pPr>
        <w:pStyle w:val="21"/>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"_Toc23492" </w:instrText>
      </w:r>
      <w:r>
        <w:rPr>
          <w:rFonts w:hint="eastAsia" w:ascii="宋体" w:hAnsi="宋体" w:eastAsia="宋体" w:cs="宋体"/>
        </w:rPr>
        <w:fldChar w:fldCharType="separate"/>
      </w:r>
      <w:r>
        <w:rPr>
          <w:rFonts w:hint="eastAsia" w:ascii="宋体" w:hAnsi="宋体" w:eastAsia="宋体" w:cs="宋体"/>
        </w:rPr>
        <w:t>8非正常状态管理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_Toc23492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49041DB8">
      <w:pPr>
        <w:pStyle w:val="21"/>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"_Toc2741" </w:instrText>
      </w:r>
      <w:r>
        <w:rPr>
          <w:rFonts w:hint="eastAsia" w:ascii="宋体" w:hAnsi="宋体" w:eastAsia="宋体" w:cs="宋体"/>
        </w:rPr>
        <w:fldChar w:fldCharType="separate"/>
      </w:r>
      <w:r>
        <w:rPr>
          <w:rFonts w:hint="eastAsia" w:ascii="宋体" w:hAnsi="宋体" w:eastAsia="宋体" w:cs="宋体"/>
        </w:rPr>
        <w:t>9 充/换电管理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_Toc2741 \h </w:instrText>
      </w:r>
      <w:r>
        <w:rPr>
          <w:rFonts w:hint="eastAsia" w:ascii="宋体" w:hAnsi="宋体" w:eastAsia="宋体" w:cs="宋体"/>
        </w:rPr>
        <w:fldChar w:fldCharType="separate"/>
      </w:r>
      <w:r>
        <w:rPr>
          <w:rFonts w:hint="eastAsia" w:ascii="宋体" w:hAnsi="宋体" w:eastAsia="宋体" w:cs="宋体"/>
        </w:rPr>
        <w:t>5</w:t>
      </w:r>
      <w:r>
        <w:rPr>
          <w:rFonts w:hint="eastAsia" w:ascii="宋体" w:hAnsi="宋体" w:eastAsia="宋体" w:cs="宋体"/>
        </w:rPr>
        <w:fldChar w:fldCharType="end"/>
      </w:r>
      <w:r>
        <w:rPr>
          <w:rFonts w:hint="eastAsia" w:ascii="宋体" w:hAnsi="宋体" w:eastAsia="宋体" w:cs="宋体"/>
        </w:rPr>
        <w:fldChar w:fldCharType="end"/>
      </w:r>
    </w:p>
    <w:p w14:paraId="441668BC">
      <w:pPr>
        <w:pStyle w:val="21"/>
        <w:tabs>
          <w:tab w:val="right" w:leader="dot" w:pos="9354"/>
        </w:tabs>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"_Toc3348" </w:instrText>
      </w:r>
      <w:r>
        <w:rPr>
          <w:rFonts w:hint="eastAsia" w:ascii="宋体" w:hAnsi="宋体" w:eastAsia="宋体" w:cs="宋体"/>
        </w:rPr>
        <w:fldChar w:fldCharType="separate"/>
      </w:r>
      <w:r>
        <w:rPr>
          <w:rFonts w:hint="eastAsia" w:ascii="宋体" w:hAnsi="宋体" w:eastAsia="宋体" w:cs="宋体"/>
        </w:rPr>
        <w:t>10 运行数据统计分析</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_Toc3348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rPr>
        <w:fldChar w:fldCharType="end"/>
      </w:r>
    </w:p>
    <w:p w14:paraId="20078BF3">
      <w:pPr>
        <w:pStyle w:val="94"/>
        <w:spacing w:after="360"/>
        <w:rPr>
          <w:rFonts w:hint="eastAsia" w:ascii="宋体" w:hAnsi="宋体" w:eastAsia="宋体" w:cs="宋体"/>
        </w:rPr>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rPr>
          <w:rFonts w:hint="eastAsia" w:ascii="宋体" w:hAnsi="宋体" w:eastAsia="宋体" w:cs="宋体"/>
        </w:rPr>
        <w:fldChar w:fldCharType="end"/>
      </w:r>
    </w:p>
    <w:bookmarkEnd w:id="19"/>
    <w:p w14:paraId="5C007982">
      <w:pPr>
        <w:pStyle w:val="92"/>
        <w:spacing w:before="900" w:after="360"/>
      </w:pPr>
      <w:bookmarkStart w:id="20" w:name="_Toc4053"/>
      <w:bookmarkStart w:id="21" w:name="_Toc13690"/>
      <w:bookmarkStart w:id="22" w:name="_Toc21110"/>
      <w:bookmarkStart w:id="23" w:name="BookMark2"/>
      <w:r>
        <w:rPr>
          <w:spacing w:val="320"/>
        </w:rPr>
        <w:t>前</w:t>
      </w:r>
      <w:r>
        <w:t>言</w:t>
      </w:r>
      <w:bookmarkEnd w:id="20"/>
      <w:bookmarkEnd w:id="21"/>
      <w:bookmarkEnd w:id="22"/>
    </w:p>
    <w:p w14:paraId="58096813">
      <w:pPr>
        <w:pStyle w:val="59"/>
        <w:ind w:firstLine="420"/>
      </w:pPr>
      <w:r>
        <w:rPr>
          <w:rFonts w:hint="eastAsia"/>
        </w:rPr>
        <w:t>本文件按照GB/T 1.1—2020《标准化工作导则  第1部分：标准化文件的结构和起草规则》的规定起草。</w:t>
      </w:r>
    </w:p>
    <w:p w14:paraId="735929C1">
      <w:pPr>
        <w:pStyle w:val="59"/>
        <w:ind w:firstLine="420"/>
      </w:pPr>
      <w:r>
        <w:rPr>
          <w:rFonts w:hint="eastAsia"/>
        </w:rPr>
        <w:t>请注意本文件的某些内容可能涉及专利。本文件的发布机构不承担识别专利的责任。</w:t>
      </w:r>
    </w:p>
    <w:p w14:paraId="464556B5">
      <w:pPr>
        <w:pStyle w:val="59"/>
        <w:ind w:firstLine="420"/>
      </w:pPr>
      <w:r>
        <w:rPr>
          <w:rFonts w:hint="eastAsia"/>
        </w:rPr>
        <w:t>本文件由交通运输部水运科学研究院提出。</w:t>
      </w:r>
    </w:p>
    <w:p w14:paraId="4EF512CB">
      <w:pPr>
        <w:pStyle w:val="59"/>
        <w:ind w:firstLine="420"/>
      </w:pPr>
      <w:r>
        <w:rPr>
          <w:rFonts w:hint="eastAsia"/>
        </w:rPr>
        <w:t>本文件由中国港口协会归口。</w:t>
      </w:r>
    </w:p>
    <w:p w14:paraId="7A9F0FBE">
      <w:pPr>
        <w:pStyle w:val="59"/>
        <w:ind w:firstLine="420"/>
      </w:pPr>
      <w:r>
        <w:rPr>
          <w:rFonts w:hint="eastAsia"/>
        </w:rPr>
        <w:t>本文件起草单位：舟山甬舟集装箱码头有限公司、日照港技术创新中心、北京斯年智驾科技有限公司、广州港股份有限公司南沙集装箱码头分公司、交通运输部水运科学研究院。</w:t>
      </w:r>
    </w:p>
    <w:p w14:paraId="1BB592E8">
      <w:pPr>
        <w:pStyle w:val="59"/>
        <w:ind w:firstLine="420"/>
        <w:rPr>
          <w:rFonts w:hint="eastAsia" w:ascii="宋体" w:hAnsi="Times New Roman" w:eastAsia="宋体" w:cs="Times New Roman"/>
        </w:rPr>
      </w:pPr>
      <w:r>
        <w:rPr>
          <w:rFonts w:hint="eastAsia"/>
        </w:rPr>
        <w:t>本文件主要起</w:t>
      </w:r>
      <w:r>
        <w:rPr>
          <w:rFonts w:hint="eastAsia" w:ascii="宋体" w:hAnsi="Times New Roman" w:eastAsia="宋体" w:cs="Times New Roman"/>
        </w:rPr>
        <w:t>草人：</w:t>
      </w:r>
      <w:r>
        <w:rPr>
          <w:rFonts w:hint="eastAsia" w:ascii="宋体" w:hAnsi="Times New Roman" w:eastAsia="宋体" w:cs="Times New Roman"/>
          <w:lang w:val="en-US" w:eastAsia="zh-CN"/>
        </w:rPr>
        <w:t>江涛、汤碧海、王衍棣、刘彩霞、任攀宇、徐冠男、胡豪炜、</w:t>
      </w:r>
      <w:r>
        <w:rPr>
          <w:rFonts w:hint="default" w:ascii="宋体" w:hAnsi="Times New Roman" w:eastAsia="宋体" w:cs="Times New Roman"/>
          <w:lang w:val="en-US" w:eastAsia="zh-CN"/>
        </w:rPr>
        <w:t>何贝</w:t>
      </w:r>
      <w:r>
        <w:rPr>
          <w:rFonts w:hint="eastAsia" w:ascii="宋体" w:hAnsi="Times New Roman" w:eastAsia="宋体" w:cs="Times New Roman"/>
          <w:lang w:val="en-US" w:eastAsia="zh-CN"/>
        </w:rPr>
        <w:t>、肖炳林、许海洋、张哲斌、刘杰、</w:t>
      </w:r>
      <w:r>
        <w:rPr>
          <w:rFonts w:hint="default" w:ascii="宋体" w:hAnsi="Times New Roman" w:eastAsia="宋体" w:cs="Times New Roman"/>
          <w:lang w:val="en-US" w:eastAsia="zh-CN"/>
        </w:rPr>
        <w:t>刘鹤云</w:t>
      </w:r>
      <w:r>
        <w:rPr>
          <w:rFonts w:hint="eastAsia" w:ascii="宋体" w:hAnsi="Times New Roman" w:eastAsia="宋体" w:cs="Times New Roman"/>
          <w:lang w:val="en-US" w:eastAsia="zh-CN"/>
        </w:rPr>
        <w:t>、陈杰山</w:t>
      </w:r>
      <w:r>
        <w:rPr>
          <w:rFonts w:hint="eastAsia" w:cs="Times New Roman"/>
          <w:lang w:val="en-US" w:eastAsia="zh-CN"/>
        </w:rPr>
        <w:t>、</w:t>
      </w:r>
      <w:r>
        <w:rPr>
          <w:rFonts w:hint="default" w:ascii="宋体" w:hAnsi="Times New Roman" w:eastAsia="宋体" w:cs="Times New Roman"/>
          <w:lang w:val="en-US" w:eastAsia="zh-CN"/>
        </w:rPr>
        <w:t>李雯</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李海波</w:t>
      </w:r>
      <w:r>
        <w:rPr>
          <w:rFonts w:hint="eastAsia" w:ascii="宋体" w:hAnsi="Times New Roman" w:eastAsia="宋体" w:cs="Times New Roman"/>
          <w:lang w:val="en-US" w:eastAsia="zh-CN"/>
        </w:rPr>
        <w:t>、何威誉、、</w:t>
      </w:r>
      <w:r>
        <w:rPr>
          <w:rFonts w:hint="default" w:ascii="宋体" w:hAnsi="Times New Roman" w:eastAsia="宋体" w:cs="Times New Roman"/>
          <w:lang w:val="en-US" w:eastAsia="zh-CN"/>
        </w:rPr>
        <w:t>张娜</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张岩</w:t>
      </w:r>
      <w:r>
        <w:rPr>
          <w:rFonts w:hint="eastAsia" w:ascii="宋体" w:hAnsi="Times New Roman" w:eastAsia="宋体" w:cs="Times New Roman"/>
          <w:lang w:val="en-US" w:eastAsia="zh-CN"/>
        </w:rPr>
        <w:t>、</w:t>
      </w:r>
      <w:r>
        <w:rPr>
          <w:rFonts w:hint="default" w:ascii="宋体" w:hAnsi="Times New Roman" w:eastAsia="宋体" w:cs="Times New Roman"/>
          <w:lang w:val="en-US" w:eastAsia="zh-CN"/>
        </w:rPr>
        <w:t>庞博</w:t>
      </w:r>
      <w:r>
        <w:rPr>
          <w:rFonts w:hint="eastAsia" w:ascii="宋体" w:hAnsi="Times New Roman" w:eastAsia="宋体" w:cs="Times New Roman"/>
          <w:lang w:val="en-US" w:eastAsia="zh-CN"/>
        </w:rPr>
        <w:t>。</w:t>
      </w:r>
    </w:p>
    <w:p w14:paraId="5841D051">
      <w:pPr>
        <w:pStyle w:val="59"/>
        <w:ind w:firstLine="420"/>
      </w:pPr>
    </w:p>
    <w:p w14:paraId="5F29EB44">
      <w:pPr>
        <w:pStyle w:val="59"/>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305EA0B2">
      <w:pPr>
        <w:spacing w:line="20" w:lineRule="exact"/>
        <w:jc w:val="center"/>
        <w:rPr>
          <w:rFonts w:ascii="黑体" w:hAnsi="黑体" w:eastAsia="黑体"/>
          <w:sz w:val="32"/>
          <w:szCs w:val="32"/>
        </w:rPr>
      </w:pPr>
      <w:bookmarkStart w:id="24" w:name="BookMark4"/>
    </w:p>
    <w:p w14:paraId="68CD8D5C">
      <w:pPr>
        <w:spacing w:line="20" w:lineRule="exact"/>
        <w:jc w:val="center"/>
        <w:rPr>
          <w:rFonts w:ascii="黑体" w:hAnsi="黑体" w:eastAsia="黑体"/>
          <w:sz w:val="32"/>
          <w:szCs w:val="32"/>
        </w:rPr>
      </w:pPr>
    </w:p>
    <w:sdt>
      <w:sdtPr>
        <w:tag w:val="NEW_STAND_NAME"/>
        <w:id w:val="595910757"/>
        <w:lock w:val="sdtLocked"/>
        <w:placeholder>
          <w:docPart w:val="8FA7467676A843CF96354C98B6E8FDA5"/>
        </w:placeholder>
      </w:sdtPr>
      <w:sdtContent>
        <w:p w14:paraId="26EF0CBE">
          <w:pPr>
            <w:pStyle w:val="180"/>
            <w:spacing w:beforeLines="1" w:afterLines="1"/>
            <w:outlineLvl w:val="0"/>
          </w:pPr>
          <w:bookmarkStart w:id="25" w:name="NEW_STAND_NAME"/>
          <w:r>
            <w:rPr>
              <w:rFonts w:hint="eastAsia"/>
            </w:rPr>
            <w:t>集装箱码头自动驾驶车队智能调度</w:t>
          </w:r>
        </w:p>
        <w:p w14:paraId="762B9FAC">
          <w:pPr>
            <w:pStyle w:val="180"/>
            <w:spacing w:beforeLines="1" w:after="680"/>
            <w:outlineLvl w:val="0"/>
          </w:pPr>
          <w:r>
            <w:rPr>
              <w:rFonts w:hint="eastAsia"/>
            </w:rPr>
            <w:t>管理系统技术要求</w:t>
          </w:r>
        </w:p>
      </w:sdtContent>
    </w:sdt>
    <w:bookmarkEnd w:id="25"/>
    <w:p w14:paraId="39573106">
      <w:pPr>
        <w:pStyle w:val="107"/>
        <w:spacing w:before="240" w:after="240"/>
      </w:pPr>
      <w:bookmarkStart w:id="26" w:name="_Toc24884211"/>
      <w:bookmarkStart w:id="27" w:name="_Toc17233325"/>
      <w:bookmarkStart w:id="28" w:name="_Toc26648465"/>
      <w:bookmarkStart w:id="29" w:name="_Toc26986530"/>
      <w:bookmarkStart w:id="30" w:name="_Toc17233333"/>
      <w:bookmarkStart w:id="31" w:name="_Toc26986771"/>
      <w:bookmarkStart w:id="32" w:name="_Toc3052"/>
      <w:bookmarkStart w:id="33" w:name="_Toc26718930"/>
      <w:bookmarkStart w:id="34" w:name="_Toc97192964"/>
      <w:bookmarkStart w:id="35" w:name="_Toc12389"/>
      <w:bookmarkStart w:id="36" w:name="_Toc24884218"/>
      <w:r>
        <w:rPr>
          <w:rFonts w:hint="eastAsia"/>
        </w:rPr>
        <w:t>范围</w:t>
      </w:r>
      <w:bookmarkEnd w:id="26"/>
      <w:bookmarkEnd w:id="27"/>
      <w:bookmarkEnd w:id="28"/>
      <w:bookmarkEnd w:id="29"/>
      <w:bookmarkEnd w:id="30"/>
      <w:bookmarkEnd w:id="31"/>
      <w:bookmarkEnd w:id="32"/>
      <w:bookmarkEnd w:id="33"/>
      <w:bookmarkEnd w:id="34"/>
      <w:bookmarkEnd w:id="35"/>
      <w:bookmarkEnd w:id="36"/>
    </w:p>
    <w:p w14:paraId="23D5A667">
      <w:pPr>
        <w:pStyle w:val="59"/>
        <w:ind w:firstLine="420"/>
      </w:pPr>
      <w:bookmarkStart w:id="37" w:name="_Toc17233334"/>
      <w:bookmarkStart w:id="38" w:name="_Toc24884219"/>
      <w:bookmarkStart w:id="39" w:name="_Toc17233326"/>
      <w:bookmarkStart w:id="40" w:name="_Toc24884212"/>
      <w:bookmarkStart w:id="41" w:name="_Toc26648466"/>
      <w:r>
        <w:rPr>
          <w:rFonts w:hint="eastAsia"/>
        </w:rPr>
        <w:t>本文件规定了集装箱码头自动驾驶车队智能调度管理系统的</w:t>
      </w:r>
      <w:r>
        <w:rPr>
          <w:rFonts w:hint="eastAsia"/>
          <w:lang w:eastAsia="zh-CN"/>
        </w:rPr>
        <w:t>一般</w:t>
      </w:r>
      <w:r>
        <w:rPr>
          <w:rFonts w:hint="eastAsia"/>
        </w:rPr>
        <w:t>要求、信息交互、作业调度、车辆状态监控、非正常状态管理、充/换电管理</w:t>
      </w:r>
      <w:r>
        <w:rPr>
          <w:rFonts w:hint="eastAsia"/>
          <w:lang w:eastAsia="zh-CN"/>
        </w:rPr>
        <w:t>和</w:t>
      </w:r>
      <w:r>
        <w:rPr>
          <w:rFonts w:hint="eastAsia"/>
        </w:rPr>
        <w:t>运行数据统计等要求。</w:t>
      </w:r>
    </w:p>
    <w:p w14:paraId="14819A5D">
      <w:pPr>
        <w:pStyle w:val="59"/>
        <w:ind w:firstLine="420"/>
      </w:pPr>
      <w:r>
        <w:rPr>
          <w:rFonts w:hint="eastAsia"/>
        </w:rPr>
        <w:t>本文件适用于集装箱码头自动驾驶车队智能调度管理系统的设计、建设和使用。</w:t>
      </w:r>
    </w:p>
    <w:p w14:paraId="65D01A47">
      <w:pPr>
        <w:pStyle w:val="107"/>
        <w:spacing w:before="240" w:after="240"/>
      </w:pPr>
      <w:bookmarkStart w:id="42" w:name="_Toc25221"/>
      <w:bookmarkStart w:id="43" w:name="_Toc97192965"/>
      <w:bookmarkStart w:id="44" w:name="_Toc26986531"/>
      <w:bookmarkStart w:id="45" w:name="_Toc26718931"/>
      <w:bookmarkStart w:id="46" w:name="_Toc26986772"/>
      <w:bookmarkStart w:id="47" w:name="_Toc23516"/>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FA02C9094C554E51A8EE19FA7757E727"/>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1C1E827">
          <w:pPr>
            <w:pStyle w:val="59"/>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7665D6E">
      <w:pPr>
        <w:pStyle w:val="59"/>
        <w:ind w:firstLine="420"/>
      </w:pPr>
      <w:r>
        <w:rPr>
          <w:rFonts w:hint="eastAsia"/>
        </w:rPr>
        <w:t>GB/T 4205 人机界面标志标识的基本和安全规则　操作规则</w:t>
      </w:r>
    </w:p>
    <w:p w14:paraId="67E2939C">
      <w:pPr>
        <w:pStyle w:val="59"/>
        <w:ind w:firstLine="420"/>
      </w:pPr>
      <w:r>
        <w:t>GB/T 20988</w:t>
      </w:r>
      <w:r>
        <w:rPr>
          <w:rFonts w:hint="eastAsia"/>
        </w:rPr>
        <w:t>—20</w:t>
      </w:r>
      <w:r>
        <w:rPr>
          <w:rFonts w:hint="eastAsia"/>
          <w:lang w:val="en-US" w:eastAsia="zh-CN"/>
        </w:rPr>
        <w:t>25</w:t>
      </w:r>
      <w:r>
        <w:rPr>
          <w:rFonts w:hint="eastAsia"/>
        </w:rPr>
        <w:t>信息安全技术</w:t>
      </w:r>
      <w:r>
        <w:rPr>
          <w:rFonts w:hint="eastAsia"/>
          <w:lang w:val="en-US" w:eastAsia="zh-CN"/>
        </w:rPr>
        <w:t xml:space="preserve"> </w:t>
      </w:r>
      <w:r>
        <w:rPr>
          <w:rFonts w:hint="eastAsia"/>
        </w:rPr>
        <w:t>信息系统灾难恢复规范</w:t>
      </w:r>
    </w:p>
    <w:p w14:paraId="707378A3">
      <w:pPr>
        <w:pStyle w:val="59"/>
        <w:ind w:firstLine="420"/>
      </w:pPr>
      <w:r>
        <w:rPr>
          <w:rFonts w:hint="eastAsia"/>
        </w:rPr>
        <w:t>GB/T 22239</w:t>
      </w:r>
      <w:r>
        <w:rPr>
          <w:rFonts w:hint="eastAsia"/>
          <w:lang w:eastAsia="zh-CN"/>
        </w:rPr>
        <w:t>—</w:t>
      </w:r>
      <w:r>
        <w:rPr>
          <w:rFonts w:hint="eastAsia"/>
          <w:lang w:val="en-US" w:eastAsia="zh-CN"/>
        </w:rPr>
        <w:t>2019</w:t>
      </w:r>
      <w:r>
        <w:rPr>
          <w:rFonts w:hint="eastAsia"/>
        </w:rPr>
        <w:t xml:space="preserve"> 信息安全技术</w:t>
      </w:r>
      <w:r>
        <w:rPr>
          <w:rFonts w:hint="eastAsia"/>
          <w:lang w:val="en-US" w:eastAsia="zh-CN"/>
        </w:rPr>
        <w:t xml:space="preserve"> </w:t>
      </w:r>
      <w:r>
        <w:rPr>
          <w:rFonts w:hint="eastAsia"/>
        </w:rPr>
        <w:t>网络安全等级保护基本要求</w:t>
      </w:r>
    </w:p>
    <w:p w14:paraId="6A66AC4C">
      <w:pPr>
        <w:pStyle w:val="59"/>
        <w:ind w:firstLine="420"/>
      </w:pPr>
      <w:r>
        <w:t xml:space="preserve">GB/T 25070 </w:t>
      </w:r>
      <w:r>
        <w:rPr>
          <w:rFonts w:hint="eastAsia"/>
        </w:rPr>
        <w:t>信息安全技术</w:t>
      </w:r>
      <w:r>
        <w:rPr>
          <w:rFonts w:hint="eastAsia"/>
          <w:lang w:val="en-US" w:eastAsia="zh-CN"/>
        </w:rPr>
        <w:t xml:space="preserve"> </w:t>
      </w:r>
      <w:r>
        <w:rPr>
          <w:rFonts w:hint="eastAsia"/>
        </w:rPr>
        <w:t>网络安全等级保护安全设计技术要求</w:t>
      </w:r>
    </w:p>
    <w:p w14:paraId="210EE6A4">
      <w:pPr>
        <w:pStyle w:val="59"/>
        <w:ind w:firstLine="420"/>
      </w:pPr>
      <w:r>
        <w:t xml:space="preserve">GB/T 37025 </w:t>
      </w:r>
      <w:r>
        <w:rPr>
          <w:rFonts w:hint="eastAsia"/>
        </w:rPr>
        <w:t>信息安全技术 物联网数据传输安全技术要求</w:t>
      </w:r>
    </w:p>
    <w:p w14:paraId="7D5D69B7">
      <w:pPr>
        <w:pStyle w:val="59"/>
        <w:ind w:firstLine="420"/>
      </w:pPr>
      <w:r>
        <w:t xml:space="preserve">GB/T 37934 </w:t>
      </w:r>
      <w:r>
        <w:rPr>
          <w:rFonts w:hint="eastAsia"/>
        </w:rPr>
        <w:t>信息安全技术 工业控制网络安全隔离与信息交换系统安全技术要求</w:t>
      </w:r>
    </w:p>
    <w:p w14:paraId="3749C8EE">
      <w:pPr>
        <w:pStyle w:val="59"/>
        <w:ind w:firstLine="420"/>
      </w:pPr>
      <w:r>
        <w:t xml:space="preserve">GB/T 42809 </w:t>
      </w:r>
      <w:r>
        <w:rPr>
          <w:rFonts w:hint="eastAsia"/>
        </w:rPr>
        <w:t>自动化集装箱码头操作系统技术要求</w:t>
      </w:r>
    </w:p>
    <w:p w14:paraId="289B0B15">
      <w:pPr>
        <w:pStyle w:val="59"/>
        <w:ind w:firstLine="420"/>
      </w:pPr>
      <w:r>
        <w:rPr>
          <w:rFonts w:hint="eastAsia"/>
        </w:rPr>
        <w:t>JT/T 880 港口牵引车</w:t>
      </w:r>
    </w:p>
    <w:p w14:paraId="43142E38">
      <w:pPr>
        <w:pStyle w:val="59"/>
        <w:ind w:firstLine="420"/>
      </w:pPr>
      <w:r>
        <w:t xml:space="preserve">JT/T 904 </w:t>
      </w:r>
      <w:r>
        <w:rPr>
          <w:rFonts w:hint="eastAsia"/>
        </w:rPr>
        <w:t>交通运输行业网络安全等级保护定级指南</w:t>
      </w:r>
    </w:p>
    <w:p w14:paraId="35D8AF3A">
      <w:pPr>
        <w:pStyle w:val="59"/>
        <w:ind w:firstLine="420"/>
      </w:pPr>
      <w:r>
        <w:rPr>
          <w:rFonts w:hint="eastAsia"/>
        </w:rPr>
        <w:t>JT/T 1377 集装箱自动导引车</w:t>
      </w:r>
    </w:p>
    <w:p w14:paraId="77B3A285">
      <w:pPr>
        <w:pStyle w:val="59"/>
        <w:ind w:firstLine="420"/>
      </w:pPr>
      <w:r>
        <w:rPr>
          <w:rFonts w:hint="eastAsia"/>
        </w:rPr>
        <w:t>JTS/T 174 自动化集装箱码头设计规范</w:t>
      </w:r>
    </w:p>
    <w:p w14:paraId="532C6C17">
      <w:pPr>
        <w:pStyle w:val="59"/>
        <w:ind w:firstLine="420"/>
      </w:pPr>
      <w:r>
        <w:rPr>
          <w:rFonts w:hint="eastAsia"/>
        </w:rPr>
        <w:t>JTS/T 199 自动化集装箱码头建设指南</w:t>
      </w:r>
    </w:p>
    <w:p w14:paraId="7851DBD8">
      <w:pPr>
        <w:pStyle w:val="59"/>
        <w:ind w:firstLine="420"/>
      </w:pPr>
    </w:p>
    <w:p w14:paraId="553E1100">
      <w:pPr>
        <w:pStyle w:val="107"/>
        <w:spacing w:before="240" w:after="240"/>
      </w:pPr>
      <w:bookmarkStart w:id="48" w:name="_Toc97192966"/>
      <w:bookmarkStart w:id="49" w:name="_Toc15163"/>
      <w:bookmarkStart w:id="50" w:name="_Toc9587"/>
      <w:r>
        <w:rPr>
          <w:rFonts w:hint="eastAsia"/>
          <w:szCs w:val="21"/>
        </w:rPr>
        <w:t>术语和定义</w:t>
      </w:r>
      <w:bookmarkEnd w:id="48"/>
      <w:bookmarkEnd w:id="49"/>
      <w:bookmarkEnd w:id="50"/>
      <w:bookmarkStart w:id="72" w:name="_GoBack"/>
      <w:bookmarkEnd w:id="72"/>
    </w:p>
    <w:sdt>
      <w:sdtPr>
        <w:id w:val="-1909835108"/>
        <w:placeholder>
          <w:docPart w:val="B7C01C5FC59B4A93AEA36C0E0C42151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745BCF0A">
          <w:pPr>
            <w:pStyle w:val="59"/>
            <w:ind w:firstLine="420"/>
          </w:pPr>
          <w:bookmarkStart w:id="51" w:name="_Toc26986532"/>
          <w:bookmarkEnd w:id="51"/>
          <w:r>
            <w:t>下列术语和定义适用于本文件。</w:t>
          </w:r>
        </w:p>
      </w:sdtContent>
    </w:sdt>
    <w:p w14:paraId="2F24ED13">
      <w:pPr>
        <w:pStyle w:val="226"/>
        <w:spacing w:before="120" w:after="120"/>
        <w:ind w:left="0" w:firstLine="0" w:firstLineChars="0"/>
      </w:pPr>
    </w:p>
    <w:p w14:paraId="5BA94B36">
      <w:pPr>
        <w:pStyle w:val="226"/>
        <w:numPr>
          <w:ilvl w:val="-1"/>
          <w:numId w:val="0"/>
        </w:numPr>
        <w:spacing w:before="120" w:after="120"/>
        <w:ind w:left="0" w:leftChars="0" w:firstLine="420" w:firstLineChars="200"/>
        <w:rPr>
          <w:rFonts w:hint="eastAsia" w:ascii="黑体" w:hAnsi="黑体" w:eastAsia="黑体" w:cs="黑体"/>
        </w:rPr>
      </w:pPr>
      <w:r>
        <w:rPr>
          <w:rFonts w:hint="eastAsia" w:ascii="黑体" w:hAnsi="黑体" w:eastAsia="黑体" w:cs="黑体"/>
        </w:rPr>
        <w:t xml:space="preserve">集装箱码头自动驾驶车队 container terminal autonomous driving fleet </w:t>
      </w:r>
    </w:p>
    <w:p w14:paraId="3322A396">
      <w:pPr>
        <w:pStyle w:val="59"/>
        <w:ind w:firstLine="420"/>
      </w:pPr>
      <w:r>
        <w:rPr>
          <w:rFonts w:hint="eastAsia"/>
        </w:rPr>
        <w:t>应用自动驾驶技术，由自动驾驶系统持续地执行部分或全部动态驾驶任务，能够对接车队调度管理系统，实现集装箱水平运输、与装卸设备交互作业的多个无人驾驶集装箱牵引车或自动导引车。</w:t>
      </w:r>
    </w:p>
    <w:p w14:paraId="2CB13E95">
      <w:pPr>
        <w:numPr>
          <w:ilvl w:val="2"/>
          <w:numId w:val="2"/>
        </w:numPr>
        <w:spacing w:before="120" w:after="120"/>
        <w:ind w:left="0" w:firstLine="0" w:firstLineChars="0"/>
        <w:jc w:val="both"/>
      </w:pPr>
    </w:p>
    <w:p w14:paraId="0921E77D">
      <w:pPr>
        <w:numPr>
          <w:ilvl w:val="-1"/>
          <w:numId w:val="0"/>
        </w:numPr>
        <w:spacing w:before="120" w:after="120"/>
        <w:ind w:left="0" w:leftChars="0" w:firstLine="420" w:firstLineChars="200"/>
        <w:jc w:val="both"/>
        <w:rPr>
          <w:rFonts w:hint="eastAsia" w:ascii="黑体" w:hAnsi="黑体" w:eastAsia="黑体" w:cs="黑体"/>
          <w:sz w:val="21"/>
          <w:lang w:val="en-US" w:eastAsia="zh-CN" w:bidi="ar-SA"/>
        </w:rPr>
      </w:pPr>
      <w:r>
        <w:rPr>
          <w:rFonts w:ascii="黑体" w:hAnsi="黑体" w:eastAsia="黑体" w:cs="黑体"/>
          <w:sz w:val="21"/>
          <w:lang w:val="en-US" w:eastAsia="zh-CN" w:bidi="ar-SA"/>
        </w:rPr>
        <w:t>车队智能调度管理系统 fleet intelligent dispatching and management system</w:t>
      </w:r>
    </w:p>
    <w:p w14:paraId="10067594">
      <w:pPr>
        <w:pStyle w:val="59"/>
        <w:ind w:firstLine="420"/>
        <w:rPr>
          <w:rFonts w:hAnsi="宋体" w:cs="宋体"/>
          <w:bCs/>
        </w:rPr>
      </w:pPr>
      <w:r>
        <w:rPr>
          <w:rFonts w:hint="eastAsia"/>
        </w:rPr>
        <w:t>用于对接码头操作系统，接收码头操作系统作业指令，与自动驾驶车队单车控制系统进行</w:t>
      </w:r>
      <w:r>
        <w:t>信息交互，</w:t>
      </w:r>
      <w:r>
        <w:rPr>
          <w:rFonts w:hint="eastAsia"/>
        </w:rPr>
        <w:t>实现对自动驾驶车队统一</w:t>
      </w:r>
      <w:r>
        <w:t>调度</w:t>
      </w:r>
      <w:r>
        <w:rPr>
          <w:rFonts w:hint="eastAsia"/>
        </w:rPr>
        <w:t>、作业监调度和全局路径规划、非正常状态管理、充/换电管理、运行数据统计分析等，</w:t>
      </w:r>
      <w:r>
        <w:rPr>
          <w:rFonts w:hAnsi="宋体"/>
        </w:rPr>
        <w:t>并向</w:t>
      </w:r>
      <w:r>
        <w:rPr>
          <w:rFonts w:hint="eastAsia"/>
        </w:rPr>
        <w:t>码头操作系统</w:t>
      </w:r>
      <w:r>
        <w:rPr>
          <w:rFonts w:hAnsi="宋体"/>
        </w:rPr>
        <w:t>实时反馈</w:t>
      </w:r>
      <w:r>
        <w:rPr>
          <w:rFonts w:hint="eastAsia" w:hAnsi="宋体"/>
        </w:rPr>
        <w:t>自动驾驶车辆位置和</w:t>
      </w:r>
      <w:r>
        <w:rPr>
          <w:rFonts w:hAnsi="宋体"/>
        </w:rPr>
        <w:t>状态</w:t>
      </w:r>
      <w:r>
        <w:rPr>
          <w:rFonts w:hint="eastAsia" w:hAnsi="宋体"/>
        </w:rPr>
        <w:t>，并可</w:t>
      </w:r>
      <w:r>
        <w:t>与港口其他相关作业系统</w:t>
      </w:r>
      <w:r>
        <w:rPr>
          <w:rFonts w:hint="eastAsia"/>
        </w:rPr>
        <w:t>进行信息交互的</w:t>
      </w:r>
      <w:r>
        <w:t>系统</w:t>
      </w:r>
      <w:r>
        <w:rPr>
          <w:rFonts w:hint="eastAsia"/>
        </w:rPr>
        <w:t>。</w:t>
      </w:r>
    </w:p>
    <w:p w14:paraId="34FD1718">
      <w:pPr>
        <w:pStyle w:val="107"/>
        <w:spacing w:before="240" w:after="240"/>
      </w:pPr>
      <w:bookmarkStart w:id="52" w:name="_Toc11082"/>
      <w:bookmarkStart w:id="53" w:name="_Toc146533216"/>
      <w:bookmarkStart w:id="54" w:name="_Toc19046"/>
      <w:r>
        <w:rPr>
          <w:rFonts w:hint="eastAsia"/>
          <w:lang w:eastAsia="zh-CN"/>
        </w:rPr>
        <w:t>一般</w:t>
      </w:r>
      <w:r>
        <w:rPr>
          <w:rFonts w:hint="eastAsia"/>
        </w:rPr>
        <w:t>要求</w:t>
      </w:r>
      <w:bookmarkEnd w:id="52"/>
      <w:bookmarkEnd w:id="53"/>
      <w:bookmarkEnd w:id="54"/>
    </w:p>
    <w:p w14:paraId="6A4D7A7E">
      <w:pPr>
        <w:pStyle w:val="226"/>
        <w:spacing w:before="120" w:after="120"/>
        <w:rPr>
          <w:rFonts w:hint="eastAsia" w:ascii="黑体" w:hAnsi="黑体" w:eastAsia="黑体" w:cs="黑体"/>
          <w:sz w:val="21"/>
          <w:lang w:val="en-US" w:eastAsia="zh-CN" w:bidi="ar-SA"/>
        </w:rPr>
      </w:pPr>
      <w:bookmarkStart w:id="55" w:name="_Toc18943"/>
      <w:bookmarkStart w:id="56" w:name="_Toc20251"/>
      <w:r>
        <w:rPr>
          <w:rFonts w:hint="eastAsia" w:ascii="黑体" w:hAnsi="黑体" w:eastAsia="黑体" w:cs="黑体"/>
          <w:sz w:val="21"/>
          <w:lang w:val="en-US" w:eastAsia="zh-CN" w:bidi="ar-SA"/>
        </w:rPr>
        <w:t>运行环境</w:t>
      </w:r>
    </w:p>
    <w:p w14:paraId="72A46F64">
      <w:pPr>
        <w:pStyle w:val="226"/>
        <w:keepNext w:val="0"/>
        <w:keepLines w:val="0"/>
        <w:pageBreakBefore w:val="0"/>
        <w:widowControl/>
        <w:numPr>
          <w:ilvl w:val="2"/>
          <w:numId w:val="0"/>
        </w:numPr>
        <w:kinsoku/>
        <w:wordWrap/>
        <w:overflowPunct/>
        <w:topLinePunct w:val="0"/>
        <w:autoSpaceDE/>
        <w:autoSpaceDN/>
        <w:bidi w:val="0"/>
        <w:adjustRightInd/>
        <w:snapToGrid w:val="0"/>
        <w:spacing w:before="120" w:after="120"/>
        <w:ind w:leftChars="0" w:firstLine="420" w:firstLineChars="200"/>
        <w:textAlignment w:val="auto"/>
        <w:rPr>
          <w:rFonts w:ascii="宋体" w:hAnsi="宋体" w:eastAsia="宋体" w:cs="宋体"/>
          <w:bCs/>
        </w:rPr>
      </w:pPr>
      <w:r>
        <w:rPr>
          <w:rFonts w:hint="eastAsia" w:hAnsi="宋体" w:cs="宋体"/>
          <w:bCs/>
        </w:rPr>
        <w:t>现场设备工作环境条件应满足下列要求：</w:t>
      </w:r>
      <w:bookmarkEnd w:id="55"/>
      <w:bookmarkEnd w:id="56"/>
    </w:p>
    <w:p w14:paraId="6D25E2A9">
      <w:pPr>
        <w:pStyle w:val="59"/>
        <w:ind w:left="735" w:leftChars="200" w:hanging="315" w:hangingChars="150"/>
        <w:rPr>
          <w:rFonts w:hAnsi="宋体" w:cs="宋体"/>
          <w:bCs/>
        </w:rPr>
      </w:pPr>
      <w:r>
        <w:rPr>
          <w:rFonts w:hint="eastAsia"/>
        </w:rPr>
        <w:t>a）工作环境温度为-25℃～+45℃，超出以上环境温度范围应选用适合环境的元器件或增加必要的温度管控措施；</w:t>
      </w:r>
    </w:p>
    <w:p w14:paraId="3B9BE5A7">
      <w:pPr>
        <w:pStyle w:val="59"/>
        <w:ind w:firstLine="420"/>
      </w:pPr>
      <w:r>
        <w:rPr>
          <w:rFonts w:hint="eastAsia"/>
        </w:rPr>
        <w:t>b）场地工作风速不大于20m/s，非工作风速不大于55m/s；</w:t>
      </w:r>
    </w:p>
    <w:p w14:paraId="3A7FED3D">
      <w:pPr>
        <w:pStyle w:val="59"/>
        <w:ind w:firstLine="420"/>
        <w:rPr>
          <w:rFonts w:hint="eastAsia"/>
        </w:rPr>
      </w:pPr>
      <w:r>
        <w:rPr>
          <w:rFonts w:hint="eastAsia"/>
        </w:rPr>
        <w:t>c）最大相对湿度不大于95%，可有凝露、盐雾。</w:t>
      </w:r>
    </w:p>
    <w:p w14:paraId="74F978C4">
      <w:pPr>
        <w:pStyle w:val="226"/>
        <w:spacing w:before="120" w:after="120"/>
        <w:rPr>
          <w:rFonts w:ascii="黑体" w:hAnsi="黑体" w:eastAsia="黑体" w:cs="黑体"/>
          <w:sz w:val="21"/>
          <w:lang w:val="en-US" w:eastAsia="zh-CN" w:bidi="ar-SA"/>
        </w:rPr>
      </w:pPr>
      <w:r>
        <w:rPr>
          <w:rFonts w:ascii="黑体" w:hAnsi="黑体" w:eastAsia="黑体" w:cs="黑体"/>
          <w:sz w:val="21"/>
          <w:lang w:val="en-US" w:eastAsia="zh-CN" w:bidi="ar-SA"/>
        </w:rPr>
        <w:t>总体设计</w:t>
      </w:r>
    </w:p>
    <w:p w14:paraId="79D52C32">
      <w:pPr>
        <w:pStyle w:val="168"/>
        <w:rPr>
          <w:rFonts w:hint="eastAsia"/>
        </w:rPr>
      </w:pPr>
      <w:r>
        <w:rPr>
          <w:rFonts w:hint="eastAsia"/>
        </w:rPr>
        <w:t>车队智能调度管理系统总体设计应符合GB/T 42809、GB/T 25070、JTS/T 174、JTS/T 199、JT/T 880、JT/T 1377的相关规定。</w:t>
      </w:r>
    </w:p>
    <w:p w14:paraId="6220E3D5">
      <w:pPr>
        <w:pStyle w:val="168"/>
        <w:rPr>
          <w:rFonts w:hint="eastAsia"/>
        </w:rPr>
      </w:pPr>
      <w:r>
        <w:rPr>
          <w:rFonts w:hint="eastAsia"/>
        </w:rPr>
        <w:t>车队智能调度管理系统应能有效控制港区所有自动驾驶车队，并由中心服务器与集装箱码头操作系统(TOS)、岸边&amp;堆场作业设备控制系统（ECS）、自动驾驶车队单车控制系统及充电桩/换电站设备管理系统进行交互，实现码头作业的实时监控对和自动驾驶车队调度与控制。</w:t>
      </w:r>
    </w:p>
    <w:p w14:paraId="64CF0794">
      <w:pPr>
        <w:pStyle w:val="168"/>
        <w:rPr>
          <w:rFonts w:hint="eastAsia"/>
        </w:rPr>
      </w:pPr>
      <w:r>
        <w:rPr>
          <w:rFonts w:hint="eastAsia"/>
        </w:rPr>
        <w:t>车队智能调度管理系统应能根据码头操作系统要求实时反馈自动驾驶车辆的当前位置、工作状态、技术状态、电池状态等信息，以满足码头操作系统任务调度需求。</w:t>
      </w:r>
    </w:p>
    <w:p w14:paraId="5E0C1108">
      <w:pPr>
        <w:pStyle w:val="168"/>
        <w:rPr>
          <w:rFonts w:hint="eastAsia"/>
        </w:rPr>
      </w:pPr>
      <w:r>
        <w:rPr>
          <w:rFonts w:hint="eastAsia"/>
        </w:rPr>
        <w:t>车队智能调度管理系统应能根据码头操作系统下发的作业任务，自主生成路径规划。</w:t>
      </w:r>
    </w:p>
    <w:p w14:paraId="73687752">
      <w:pPr>
        <w:pStyle w:val="168"/>
        <w:rPr>
          <w:rFonts w:hint="eastAsia"/>
        </w:rPr>
      </w:pPr>
      <w:r>
        <w:rPr>
          <w:rFonts w:hint="eastAsia"/>
        </w:rPr>
        <w:t>车队智能调度管理系统通过与自动驾驶车辆单车控制系统进行数据交互，实现单台自动驾驶车辆作业调度与控制。</w:t>
      </w:r>
    </w:p>
    <w:p w14:paraId="420EB39C">
      <w:pPr>
        <w:pStyle w:val="168"/>
        <w:rPr>
          <w:rFonts w:hint="eastAsia"/>
        </w:rPr>
      </w:pPr>
      <w:r>
        <w:rPr>
          <w:rFonts w:hint="eastAsia"/>
        </w:rPr>
        <w:t>车队智能调度管理系统应能为自动驾驶车辆提供作业任务、导航路径、上下电命令、急停命令等信息。</w:t>
      </w:r>
    </w:p>
    <w:p w14:paraId="66A9576C">
      <w:pPr>
        <w:pStyle w:val="168"/>
        <w:rPr>
          <w:rFonts w:hint="eastAsia"/>
        </w:rPr>
      </w:pPr>
      <w:r>
        <w:rPr>
          <w:rFonts w:hint="eastAsia"/>
        </w:rPr>
        <w:t>车队智能调度管理系统支持同时接入自动驾驶车辆数量不应少于500台。</w:t>
      </w:r>
    </w:p>
    <w:p w14:paraId="203A6B8E">
      <w:pPr>
        <w:pStyle w:val="168"/>
        <w:rPr>
          <w:rFonts w:hint="eastAsia"/>
        </w:rPr>
      </w:pPr>
      <w:r>
        <w:rPr>
          <w:rFonts w:hint="eastAsia"/>
        </w:rPr>
        <w:t>车队智能调度管理系统支持调度的自动驾驶车辆数量不应少于500台。</w:t>
      </w:r>
    </w:p>
    <w:p w14:paraId="69290736">
      <w:pPr>
        <w:pStyle w:val="168"/>
        <w:rPr>
          <w:rFonts w:hint="eastAsia"/>
        </w:rPr>
      </w:pPr>
      <w:r>
        <w:rPr>
          <w:rFonts w:hint="eastAsia"/>
        </w:rPr>
        <w:t>车队智能调度管理系统应可通过OTA方式将高精度地图发送到自动驾驶车辆，单车高精度地图动态更新时间不宜超过30</w:t>
      </w:r>
      <w:r>
        <w:rPr>
          <w:rFonts w:hint="eastAsia"/>
          <w:lang w:val="en-US" w:eastAsia="zh-CN"/>
        </w:rPr>
        <w:t xml:space="preserve"> </w:t>
      </w:r>
      <w:r>
        <w:rPr>
          <w:rFonts w:hint="eastAsia"/>
        </w:rPr>
        <w:t>s。</w:t>
      </w:r>
    </w:p>
    <w:p w14:paraId="66D4769A">
      <w:pPr>
        <w:pStyle w:val="168"/>
        <w:rPr>
          <w:rFonts w:hint="eastAsia"/>
        </w:rPr>
      </w:pPr>
      <w:r>
        <w:rPr>
          <w:rFonts w:hint="eastAsia"/>
        </w:rPr>
        <w:t>车队智能调度管理系统作业指令派发时延不应大于1</w:t>
      </w:r>
      <w:r>
        <w:rPr>
          <w:rFonts w:hint="eastAsia"/>
          <w:lang w:val="en-US" w:eastAsia="zh-CN"/>
        </w:rPr>
        <w:t xml:space="preserve"> </w:t>
      </w:r>
      <w:r>
        <w:rPr>
          <w:rFonts w:hint="eastAsia"/>
        </w:rPr>
        <w:t>s。</w:t>
      </w:r>
    </w:p>
    <w:p w14:paraId="605ACBA2">
      <w:pPr>
        <w:pStyle w:val="168"/>
        <w:rPr>
          <w:rFonts w:hint="eastAsia"/>
        </w:rPr>
      </w:pPr>
      <w:r>
        <w:rPr>
          <w:rFonts w:hint="eastAsia"/>
        </w:rPr>
        <w:t>车队智能调度管理系统与单车控制系统的数据交互时延不应大于1</w:t>
      </w:r>
      <w:r>
        <w:rPr>
          <w:rFonts w:hint="eastAsia"/>
          <w:lang w:val="en-US" w:eastAsia="zh-CN"/>
        </w:rPr>
        <w:t xml:space="preserve"> </w:t>
      </w:r>
      <w:r>
        <w:rPr>
          <w:rFonts w:hint="eastAsia"/>
        </w:rPr>
        <w:t>s，远程驾驶系统视频传输与显示的端到端延时不应大于250</w:t>
      </w:r>
      <w:r>
        <w:rPr>
          <w:rFonts w:hint="eastAsia"/>
          <w:lang w:val="en-US" w:eastAsia="zh-CN"/>
        </w:rPr>
        <w:t xml:space="preserve"> </w:t>
      </w:r>
      <w:r>
        <w:rPr>
          <w:rFonts w:hint="eastAsia"/>
        </w:rPr>
        <w:t>ms，摄像头的分辨率宜在1080</w:t>
      </w:r>
      <w:r>
        <w:rPr>
          <w:rFonts w:hint="eastAsia"/>
          <w:lang w:val="en-US" w:eastAsia="zh-CN"/>
        </w:rPr>
        <w:t xml:space="preserve"> </w:t>
      </w:r>
      <w:r>
        <w:rPr>
          <w:rFonts w:hint="eastAsia"/>
        </w:rPr>
        <w:t>P及以上。</w:t>
      </w:r>
    </w:p>
    <w:p w14:paraId="45C4F8B7">
      <w:pPr>
        <w:pStyle w:val="168"/>
        <w:rPr>
          <w:rFonts w:hint="eastAsia"/>
        </w:rPr>
      </w:pPr>
      <w:r>
        <w:rPr>
          <w:rFonts w:hint="eastAsia"/>
        </w:rPr>
        <w:t>车队智能调度管理系统应能支持自动驾驶车辆与人工驾驶车辆混行作业。</w:t>
      </w:r>
    </w:p>
    <w:p w14:paraId="32A336FC">
      <w:pPr>
        <w:pStyle w:val="168"/>
        <w:rPr>
          <w:rFonts w:hint="eastAsia"/>
        </w:rPr>
      </w:pPr>
      <w:r>
        <w:rPr>
          <w:rFonts w:hint="eastAsia"/>
        </w:rPr>
        <w:t>车队智能调度管理系统应提供标准数据接口，支持不同品牌、不同型号自动驾驶车辆的混合调度。</w:t>
      </w:r>
    </w:p>
    <w:p w14:paraId="62BDBB0F">
      <w:pPr>
        <w:pStyle w:val="168"/>
        <w:rPr>
          <w:rFonts w:hint="eastAsia"/>
        </w:rPr>
      </w:pPr>
      <w:r>
        <w:rPr>
          <w:rFonts w:hint="eastAsia"/>
        </w:rPr>
        <w:t>车队智能调度管理系统应能支持自动驾驶车辆自动驾驶模式和远程驾驶（人工接管）模式作业。</w:t>
      </w:r>
    </w:p>
    <w:p w14:paraId="19B6EEC9">
      <w:pPr>
        <w:pStyle w:val="168"/>
        <w:rPr>
          <w:rFonts w:hint="eastAsia"/>
        </w:rPr>
      </w:pPr>
      <w:r>
        <w:rPr>
          <w:rFonts w:hint="eastAsia"/>
        </w:rPr>
        <w:t>自动驾驶车辆应能自动、迅速响应车队智能调度管理系统的指令，及时向车队智能调度管理系统反馈运行状态、位置、指令执行情况、故障等信息。</w:t>
      </w:r>
    </w:p>
    <w:p w14:paraId="723A7FF8">
      <w:pPr>
        <w:pStyle w:val="168"/>
        <w:rPr>
          <w:rFonts w:hint="eastAsia"/>
        </w:rPr>
      </w:pPr>
      <w:r>
        <w:rPr>
          <w:rFonts w:hint="eastAsia"/>
        </w:rPr>
        <w:t>应对自动驾驶车辆进行故障分级管理，设计相应的异常处理流程，单车智能控制系统应将故障信息及时反馈至车队智能调度管理系统。</w:t>
      </w:r>
    </w:p>
    <w:p w14:paraId="3FC89724">
      <w:pPr>
        <w:pStyle w:val="168"/>
        <w:rPr>
          <w:rFonts w:hint="eastAsia"/>
        </w:rPr>
      </w:pPr>
      <w:r>
        <w:rPr>
          <w:rFonts w:hint="eastAsia"/>
        </w:rPr>
        <w:t>车队智能调度管理系统应能实时检测无线通信系统状态，发生通信故障时，车队智能调度管理系统向单车控制系统提示通信异常，并执行相应安全控制。</w:t>
      </w:r>
    </w:p>
    <w:p w14:paraId="504FAFB2">
      <w:pPr>
        <w:pStyle w:val="168"/>
      </w:pPr>
      <w:r>
        <w:rPr>
          <w:rFonts w:hint="eastAsia"/>
        </w:rPr>
        <w:t>车队智能调度管理系统平均故障间隔时间不应小于1000</w:t>
      </w:r>
      <w:r>
        <w:rPr>
          <w:rFonts w:hint="eastAsia"/>
          <w:lang w:val="en-US" w:eastAsia="zh-CN"/>
        </w:rPr>
        <w:t xml:space="preserve"> </w:t>
      </w:r>
      <w:r>
        <w:rPr>
          <w:rFonts w:hint="eastAsia"/>
        </w:rPr>
        <w:t>h。</w:t>
      </w:r>
    </w:p>
    <w:p w14:paraId="042AE136">
      <w:pPr>
        <w:pStyle w:val="226"/>
        <w:adjustRightInd w:val="0"/>
        <w:snapToGrid w:val="0"/>
        <w:spacing w:before="120" w:beforeLines="50" w:after="120" w:afterLines="50"/>
        <w:ind w:left="0" w:firstLine="0" w:firstLineChars="0"/>
        <w:outlineLvl w:val="1"/>
        <w:rPr>
          <w:rFonts w:hint="eastAsia" w:ascii="黑体" w:hAnsi="黑体" w:eastAsia="黑体" w:cs="黑体"/>
          <w:sz w:val="21"/>
          <w:lang w:val="en-US" w:eastAsia="zh-CN" w:bidi="ar-SA"/>
        </w:rPr>
      </w:pPr>
      <w:r>
        <w:rPr>
          <w:rFonts w:hint="eastAsia" w:ascii="黑体" w:hAnsi="黑体" w:eastAsia="黑体" w:cs="黑体"/>
          <w:sz w:val="21"/>
          <w:lang w:val="en-US" w:eastAsia="zh-CN" w:bidi="ar-SA"/>
        </w:rPr>
        <w:t>系统构成</w:t>
      </w:r>
    </w:p>
    <w:p w14:paraId="0D6744A4">
      <w:pPr>
        <w:pStyle w:val="168"/>
        <w:rPr>
          <w:rFonts w:hint="eastAsia"/>
        </w:rPr>
      </w:pPr>
      <w:r>
        <w:rPr>
          <w:rFonts w:hint="eastAsia"/>
        </w:rPr>
        <w:t>车队智能调度管理系统应由信息交互、作业调度与路径规划、车辆状态监控、非正常状态管理、充/换电管理、运行数据统计等模块构成，并通过接口与上一级码头操作系统和作业设备控制系统，与下一级自动驾驶车队单车控制系统和充电桩/换电站设备管理系统进等系统实现信息交互。车队智能调度管理系统构成如图1所示。</w:t>
      </w:r>
    </w:p>
    <w:p w14:paraId="24FA496F">
      <w:pPr>
        <w:pStyle w:val="59"/>
        <w:ind w:firstLine="0" w:firstLineChars="0"/>
        <w:jc w:val="center"/>
      </w:pPr>
      <w:r>
        <w:drawing>
          <wp:inline distT="0" distB="0" distL="114300" distR="114300">
            <wp:extent cx="3444875" cy="2514600"/>
            <wp:effectExtent l="0" t="0" r="317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17"/>
                    <a:stretch>
                      <a:fillRect/>
                    </a:stretch>
                  </pic:blipFill>
                  <pic:spPr>
                    <a:xfrm>
                      <a:off x="0" y="0"/>
                      <a:ext cx="3444875" cy="2514600"/>
                    </a:xfrm>
                    <a:prstGeom prst="rect">
                      <a:avLst/>
                    </a:prstGeom>
                    <a:noFill/>
                    <a:ln>
                      <a:noFill/>
                    </a:ln>
                  </pic:spPr>
                </pic:pic>
              </a:graphicData>
            </a:graphic>
          </wp:inline>
        </w:drawing>
      </w:r>
    </w:p>
    <w:p w14:paraId="2B20509A">
      <w:pPr>
        <w:pStyle w:val="117"/>
        <w:spacing w:before="120" w:after="120"/>
      </w:pPr>
      <w:r>
        <w:rPr>
          <w:rFonts w:hint="eastAsia"/>
        </w:rPr>
        <w:t>系统构成示意</w:t>
      </w:r>
      <w:r>
        <w:t>图</w:t>
      </w:r>
    </w:p>
    <w:p w14:paraId="0A29E839">
      <w:pPr>
        <w:pStyle w:val="168"/>
        <w:rPr>
          <w:rFonts w:hint="eastAsia"/>
        </w:rPr>
      </w:pPr>
      <w:r>
        <w:rPr>
          <w:rFonts w:hint="eastAsia"/>
        </w:rPr>
        <w:t>集装箱码头自动驾驶车队智能调度管理系统的功能要求，应包括但不限于：自动驾驶车辆控制、任务管理、路径规划、交通控制、交互管理、安全管理和异常管理等功能。</w:t>
      </w:r>
    </w:p>
    <w:p w14:paraId="55135B2A">
      <w:pPr>
        <w:pStyle w:val="226"/>
        <w:adjustRightInd w:val="0"/>
        <w:snapToGrid w:val="0"/>
        <w:spacing w:before="120" w:beforeLines="50" w:after="120" w:afterLines="50"/>
        <w:ind w:left="0" w:firstLine="0" w:firstLineChars="0"/>
        <w:outlineLvl w:val="1"/>
        <w:rPr>
          <w:rFonts w:hint="eastAsia" w:ascii="黑体" w:hAnsi="黑体" w:eastAsia="黑体" w:cs="黑体"/>
          <w:sz w:val="21"/>
          <w:lang w:val="en-US" w:eastAsia="zh-CN" w:bidi="ar-SA"/>
        </w:rPr>
      </w:pPr>
      <w:r>
        <w:rPr>
          <w:rFonts w:hint="eastAsia" w:ascii="黑体" w:hAnsi="黑体" w:eastAsia="黑体" w:cs="黑体"/>
          <w:sz w:val="21"/>
          <w:lang w:val="en-US" w:eastAsia="zh-CN" w:bidi="ar-SA"/>
        </w:rPr>
        <w:t>网络与信息安全</w:t>
      </w:r>
    </w:p>
    <w:p w14:paraId="2522F9ED">
      <w:pPr>
        <w:pStyle w:val="168"/>
        <w:rPr>
          <w:rFonts w:hint="eastAsia"/>
        </w:rPr>
      </w:pPr>
      <w:r>
        <w:rPr>
          <w:rFonts w:hint="eastAsia"/>
        </w:rPr>
        <w:t>车队智能调度管理系统通信信息安全</w:t>
      </w:r>
      <w:r>
        <w:rPr>
          <w:rFonts w:hint="eastAsia"/>
          <w:lang w:eastAsia="zh-CN"/>
        </w:rPr>
        <w:t>宜</w:t>
      </w:r>
      <w:r>
        <w:rPr>
          <w:rFonts w:hint="eastAsia"/>
        </w:rPr>
        <w:t>符合JT/T 904的相关</w:t>
      </w:r>
      <w:r>
        <w:rPr>
          <w:rFonts w:hint="eastAsia"/>
          <w:lang w:eastAsia="zh-CN"/>
        </w:rPr>
        <w:t>建议</w:t>
      </w:r>
      <w:r>
        <w:rPr>
          <w:rFonts w:hint="eastAsia"/>
        </w:rPr>
        <w:t>。</w:t>
      </w:r>
    </w:p>
    <w:p w14:paraId="1A7E6895">
      <w:pPr>
        <w:pStyle w:val="168"/>
        <w:rPr>
          <w:rFonts w:hint="eastAsia"/>
        </w:rPr>
      </w:pPr>
      <w:r>
        <w:rPr>
          <w:rFonts w:hint="eastAsia"/>
        </w:rPr>
        <w:t>通信网络应具有抗干扰性，通信方式基于 TCP 协议，应能满足防篡改、防伪造、防冒充的信息安全要求。</w:t>
      </w:r>
    </w:p>
    <w:p w14:paraId="243EDE73">
      <w:pPr>
        <w:pStyle w:val="168"/>
        <w:rPr>
          <w:rFonts w:hint="eastAsia"/>
        </w:rPr>
      </w:pPr>
      <w:r>
        <w:rPr>
          <w:rFonts w:hint="eastAsia"/>
        </w:rPr>
        <w:t>通信网络不应受周边无线信号干扰，如雷达等外部因素，且不应对周边设备、设施、通讯产生干扰。</w:t>
      </w:r>
    </w:p>
    <w:p w14:paraId="7A804B7D">
      <w:pPr>
        <w:pStyle w:val="168"/>
        <w:rPr>
          <w:rFonts w:hint="eastAsia"/>
        </w:rPr>
      </w:pPr>
      <w:r>
        <w:rPr>
          <w:rFonts w:hint="eastAsia"/>
        </w:rPr>
        <w:t>车队智能调度管理系统网络结构应保证与码头操作系统之间、设备调度与控制系统之间、自动驾驶车辆之间的通信安全，并应满足相应的网络带宽要求。</w:t>
      </w:r>
    </w:p>
    <w:p w14:paraId="0239DA51">
      <w:pPr>
        <w:pStyle w:val="168"/>
        <w:rPr>
          <w:rFonts w:hint="eastAsia"/>
        </w:rPr>
      </w:pPr>
      <w:r>
        <w:rPr>
          <w:rFonts w:hint="eastAsia"/>
        </w:rPr>
        <w:t>车队智能调度管理系统和单车控制系统间应采用可靠、高效的通信方式，宜采用无线通信方式，并宜设置两条及以上通信链路。</w:t>
      </w:r>
    </w:p>
    <w:p w14:paraId="28FAB432">
      <w:pPr>
        <w:pStyle w:val="168"/>
        <w:rPr>
          <w:rFonts w:hint="eastAsia"/>
        </w:rPr>
      </w:pPr>
      <w:r>
        <w:rPr>
          <w:rFonts w:hint="eastAsia"/>
        </w:rPr>
        <w:t>车队智能调度管理系统无线通信网络接口需授权使用，接入设备应开启接入认证功能，不应使用WEP方式进行认证。</w:t>
      </w:r>
    </w:p>
    <w:p w14:paraId="3F76A432">
      <w:pPr>
        <w:pStyle w:val="168"/>
        <w:rPr>
          <w:rFonts w:hint="eastAsia"/>
        </w:rPr>
      </w:pPr>
      <w:r>
        <w:rPr>
          <w:rFonts w:hint="eastAsia"/>
        </w:rPr>
        <w:t>自动驾驶车辆与车队智能调度管理系统间无线网络传输平均延时不应大于18</w:t>
      </w:r>
      <w:r>
        <w:rPr>
          <w:rFonts w:hint="eastAsia"/>
          <w:lang w:val="en-US" w:eastAsia="zh-CN"/>
        </w:rPr>
        <w:t xml:space="preserve"> </w:t>
      </w:r>
      <w:r>
        <w:rPr>
          <w:rFonts w:hint="eastAsia"/>
        </w:rPr>
        <w:t>ms，最大延时不应大于100</w:t>
      </w:r>
      <w:r>
        <w:rPr>
          <w:rFonts w:hint="eastAsia"/>
          <w:lang w:val="en-US" w:eastAsia="zh-CN"/>
        </w:rPr>
        <w:t xml:space="preserve"> </w:t>
      </w:r>
      <w:r>
        <w:rPr>
          <w:rFonts w:hint="eastAsia"/>
        </w:rPr>
        <w:t>ms。</w:t>
      </w:r>
    </w:p>
    <w:p w14:paraId="57975D3A">
      <w:pPr>
        <w:pStyle w:val="168"/>
        <w:rPr>
          <w:rFonts w:hint="eastAsia"/>
        </w:rPr>
      </w:pPr>
      <w:r>
        <w:rPr>
          <w:rFonts w:hint="eastAsia"/>
        </w:rPr>
        <w:t>远程驾驶系统急停控制宜采用安全通信协议。</w:t>
      </w:r>
    </w:p>
    <w:p w14:paraId="6BE0096E">
      <w:pPr>
        <w:pStyle w:val="168"/>
        <w:rPr>
          <w:rFonts w:hint="eastAsia"/>
        </w:rPr>
      </w:pPr>
      <w:r>
        <w:rPr>
          <w:rFonts w:hint="eastAsia"/>
        </w:rPr>
        <w:t>车队智能调度管理系统的通信网络应为热备冗余网络。</w:t>
      </w:r>
    </w:p>
    <w:p w14:paraId="04CCE8C8">
      <w:pPr>
        <w:pStyle w:val="168"/>
        <w:rPr>
          <w:rFonts w:hint="eastAsia"/>
        </w:rPr>
      </w:pPr>
      <w:r>
        <w:rPr>
          <w:rFonts w:hint="eastAsia"/>
        </w:rPr>
        <w:t>车队智能调度管理系统架构设计应充分考虑系统安全，网络安全满足GB/T 22239</w:t>
      </w:r>
      <w:r>
        <w:rPr>
          <w:rFonts w:hint="eastAsia"/>
          <w:lang w:eastAsia="zh-CN"/>
        </w:rPr>
        <w:t>—</w:t>
      </w:r>
      <w:r>
        <w:rPr>
          <w:rFonts w:hint="eastAsia"/>
          <w:lang w:val="en-US" w:eastAsia="zh-CN"/>
        </w:rPr>
        <w:t>2019</w:t>
      </w:r>
      <w:r>
        <w:rPr>
          <w:rFonts w:hint="eastAsia"/>
        </w:rPr>
        <w:t>规定的二级或以上防护要求。</w:t>
      </w:r>
    </w:p>
    <w:p w14:paraId="4F3400D2">
      <w:pPr>
        <w:pStyle w:val="168"/>
        <w:rPr>
          <w:rFonts w:hint="eastAsia"/>
        </w:rPr>
      </w:pPr>
      <w:r>
        <w:rPr>
          <w:rFonts w:hint="eastAsia"/>
        </w:rPr>
        <w:t>宜在车队智能调度管理系统网络和其他网络间建立边界防护机制，失效时应及时报警。</w:t>
      </w:r>
    </w:p>
    <w:p w14:paraId="26A64571">
      <w:pPr>
        <w:pStyle w:val="168"/>
        <w:rPr>
          <w:rFonts w:hint="eastAsia"/>
        </w:rPr>
      </w:pPr>
      <w:r>
        <w:rPr>
          <w:rFonts w:hint="eastAsia"/>
        </w:rPr>
        <w:t>车队智能调度管理系统应采用冗余设计，避免因出现单点故障而导致作业中止。</w:t>
      </w:r>
    </w:p>
    <w:p w14:paraId="486515CE">
      <w:pPr>
        <w:pStyle w:val="168"/>
        <w:rPr>
          <w:rFonts w:hint="eastAsia"/>
        </w:rPr>
      </w:pPr>
      <w:r>
        <w:rPr>
          <w:rFonts w:hint="eastAsia"/>
        </w:rPr>
        <w:t>数据传输安全要求应符合GB/T</w:t>
      </w:r>
      <w:r>
        <w:rPr>
          <w:rFonts w:hint="eastAsia"/>
          <w:lang w:val="en-US" w:eastAsia="zh-CN"/>
        </w:rPr>
        <w:t xml:space="preserve"> </w:t>
      </w:r>
      <w:r>
        <w:rPr>
          <w:rFonts w:hint="eastAsia"/>
        </w:rPr>
        <w:t>37025的有关规定。</w:t>
      </w:r>
    </w:p>
    <w:p w14:paraId="20B430DA">
      <w:pPr>
        <w:pStyle w:val="168"/>
        <w:rPr>
          <w:rFonts w:hint="eastAsia"/>
        </w:rPr>
      </w:pPr>
      <w:r>
        <w:rPr>
          <w:rFonts w:hint="eastAsia"/>
        </w:rPr>
        <w:t>车队智能调度管理系统中关键数据链路需进行身份认证，通信数据需加密，防止数据被窃取和篡改。</w:t>
      </w:r>
    </w:p>
    <w:p w14:paraId="488D5426">
      <w:pPr>
        <w:pStyle w:val="168"/>
        <w:rPr>
          <w:rFonts w:hint="eastAsia"/>
        </w:rPr>
      </w:pPr>
      <w:r>
        <w:rPr>
          <w:rFonts w:hint="eastAsia"/>
        </w:rPr>
        <w:t>车队智能调度管理系统应采用备份响应措施，具备实时备份和快速恢复数据和文件的功能，备份周期宜为24</w:t>
      </w:r>
      <w:r>
        <w:rPr>
          <w:rFonts w:hint="eastAsia"/>
          <w:lang w:val="en-US" w:eastAsia="zh-CN"/>
        </w:rPr>
        <w:t xml:space="preserve"> </w:t>
      </w:r>
      <w:r>
        <w:rPr>
          <w:rFonts w:hint="eastAsia"/>
        </w:rPr>
        <w:t>h，数据保存期限宜为1年。</w:t>
      </w:r>
    </w:p>
    <w:p w14:paraId="12E46523">
      <w:pPr>
        <w:pStyle w:val="168"/>
        <w:rPr>
          <w:rFonts w:hint="eastAsia"/>
        </w:rPr>
      </w:pPr>
      <w:r>
        <w:rPr>
          <w:rFonts w:hint="eastAsia"/>
        </w:rPr>
        <w:t>车队智能调度管理系统应设置容灾备份，容灾备份系统安全等级应至少满足GB/T 20988</w:t>
      </w:r>
      <w:r>
        <w:rPr>
          <w:rFonts w:hint="eastAsia"/>
          <w:lang w:eastAsia="zh-CN"/>
        </w:rPr>
        <w:t>—</w:t>
      </w:r>
      <w:r>
        <w:rPr>
          <w:rFonts w:hint="eastAsia"/>
          <w:lang w:val="en-US" w:eastAsia="zh-CN"/>
        </w:rPr>
        <w:t>2025</w:t>
      </w:r>
      <w:r>
        <w:rPr>
          <w:rFonts w:hint="eastAsia"/>
        </w:rPr>
        <w:t>管理系统应中第五级的规定。</w:t>
      </w:r>
    </w:p>
    <w:p w14:paraId="159970F0">
      <w:pPr>
        <w:pStyle w:val="107"/>
        <w:spacing w:before="240" w:after="240"/>
      </w:pPr>
      <w:bookmarkStart w:id="57" w:name="_Toc32126"/>
      <w:bookmarkStart w:id="58" w:name="_Toc25944"/>
      <w:r>
        <w:rPr>
          <w:rFonts w:hint="eastAsia"/>
        </w:rPr>
        <w:t>信息交互</w:t>
      </w:r>
      <w:bookmarkEnd w:id="57"/>
      <w:bookmarkEnd w:id="58"/>
    </w:p>
    <w:p w14:paraId="481AA33D">
      <w:pPr>
        <w:pStyle w:val="226"/>
        <w:adjustRightInd w:val="0"/>
        <w:snapToGrid w:val="0"/>
        <w:spacing w:before="120" w:beforeLines="50" w:after="120" w:afterLines="50"/>
        <w:ind w:left="0" w:firstLine="0" w:firstLineChars="0"/>
        <w:outlineLvl w:val="1"/>
        <w:rPr>
          <w:rFonts w:hint="eastAsia" w:ascii="黑体" w:hAnsi="黑体" w:eastAsia="黑体" w:cs="黑体"/>
        </w:rPr>
      </w:pPr>
      <w:bookmarkStart w:id="59" w:name="_Toc9753"/>
      <w:r>
        <w:rPr>
          <w:rFonts w:hint="eastAsia" w:ascii="黑体" w:hAnsi="黑体" w:eastAsia="黑体" w:cs="黑体"/>
        </w:rPr>
        <w:t>接口要求</w:t>
      </w:r>
      <w:bookmarkEnd w:id="59"/>
    </w:p>
    <w:p w14:paraId="21F65BB1">
      <w:pPr>
        <w:pStyle w:val="168"/>
      </w:pPr>
      <w:r>
        <w:rPr>
          <w:rFonts w:hint="eastAsia"/>
        </w:rPr>
        <w:t>车队智能调度管理系统应与集装箱码头操作系统(TOS)、岸边&amp;堆场作业设备控制系统（ECS）、自动驾驶车队单车控制系统及充电桩/换电站设备管理系统等现有</w:t>
      </w:r>
      <w:r>
        <w:t>及规划</w:t>
      </w:r>
      <w:r>
        <w:rPr>
          <w:rFonts w:hint="eastAsia"/>
        </w:rPr>
        <w:t>外部系统间建立</w:t>
      </w:r>
      <w:r>
        <w:rPr>
          <w:rFonts w:hint="eastAsia" w:hAnsi="宋体"/>
        </w:rPr>
        <w:t>安全、稳定、可靠、高效</w:t>
      </w:r>
      <w:r>
        <w:rPr>
          <w:rFonts w:hint="eastAsia"/>
        </w:rPr>
        <w:t>的信息交互接口,接口宜采用数据库、网页服务或可靠信息队列等数据交互方式。</w:t>
      </w:r>
    </w:p>
    <w:p w14:paraId="2AFEB962">
      <w:pPr>
        <w:pStyle w:val="168"/>
      </w:pPr>
      <w:r>
        <w:rPr>
          <w:rFonts w:hint="eastAsia"/>
        </w:rPr>
        <w:t>车队智能调度管理系统的接口应能满足多台自动驾驶车辆同时发送作业指令时不会造成接口通信堵塞。</w:t>
      </w:r>
    </w:p>
    <w:p w14:paraId="202525ED">
      <w:pPr>
        <w:pStyle w:val="168"/>
      </w:pPr>
      <w:r>
        <w:rPr>
          <w:rFonts w:hint="eastAsia"/>
        </w:rPr>
        <w:t>车队智能调度管理系统的接口应具有可扩展性，考虑设备增加，具备一定的性能冗余。</w:t>
      </w:r>
    </w:p>
    <w:p w14:paraId="297FD89F">
      <w:pPr>
        <w:pStyle w:val="168"/>
      </w:pPr>
      <w:r>
        <w:rPr>
          <w:rFonts w:hint="eastAsia"/>
        </w:rPr>
        <w:t>车队智能调度管理系统应具备接口异常处理机制。</w:t>
      </w:r>
    </w:p>
    <w:p w14:paraId="7E9B5F47">
      <w:pPr>
        <w:pStyle w:val="168"/>
      </w:pPr>
      <w:r>
        <w:rPr>
          <w:rFonts w:hint="eastAsia"/>
        </w:rPr>
        <w:t>车队智能调度管理系统应具备数据丢失后恢复重发机制。</w:t>
      </w:r>
    </w:p>
    <w:p w14:paraId="1D8BA0BE">
      <w:pPr>
        <w:pStyle w:val="226"/>
        <w:adjustRightInd w:val="0"/>
        <w:snapToGrid w:val="0"/>
        <w:spacing w:before="120" w:beforeLines="50" w:after="120" w:afterLines="50"/>
        <w:ind w:left="0" w:firstLine="0" w:firstLineChars="0"/>
        <w:outlineLvl w:val="1"/>
        <w:rPr>
          <w:rFonts w:hint="eastAsia" w:ascii="黑体" w:hAnsi="黑体" w:eastAsia="黑体" w:cs="黑体"/>
        </w:rPr>
      </w:pPr>
      <w:bookmarkStart w:id="60" w:name="_Toc17830"/>
      <w:r>
        <w:rPr>
          <w:rFonts w:hint="eastAsia" w:ascii="黑体" w:hAnsi="黑体" w:eastAsia="黑体" w:cs="黑体"/>
        </w:rPr>
        <w:t>数据交互</w:t>
      </w:r>
      <w:bookmarkEnd w:id="60"/>
    </w:p>
    <w:p w14:paraId="6A593E36">
      <w:pPr>
        <w:pStyle w:val="168"/>
      </w:pPr>
      <w:r>
        <w:rPr>
          <w:rFonts w:hint="eastAsia"/>
        </w:rPr>
        <w:t>信息交换系统安全要求应符合GB/T 37934的有关规定。</w:t>
      </w:r>
    </w:p>
    <w:p w14:paraId="510A28A0">
      <w:pPr>
        <w:pStyle w:val="168"/>
      </w:pPr>
      <w:r>
        <w:rPr>
          <w:rFonts w:hint="eastAsia"/>
        </w:rPr>
        <w:t>车队智能调度管理系统与集装箱码头操作系统、自动驾驶车辆单车控制系统，以及岸边机械、堆场机械等外部系统的主要接口及交互信息见表1。</w:t>
      </w:r>
    </w:p>
    <w:p w14:paraId="6C57E1B4">
      <w:pPr>
        <w:pStyle w:val="115"/>
        <w:spacing w:before="120" w:after="120"/>
      </w:pPr>
      <w:r>
        <w:rPr>
          <w:rFonts w:hint="eastAsia"/>
        </w:rPr>
        <w:t>车队智能调度管理系统与</w:t>
      </w:r>
      <w:r>
        <w:t>相关系统的接口</w:t>
      </w:r>
      <w:r>
        <w:rPr>
          <w:rFonts w:hint="eastAsia"/>
        </w:rPr>
        <w:t>和</w:t>
      </w:r>
      <w:r>
        <w:t>主要交互信息</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684"/>
        <w:gridCol w:w="1984"/>
        <w:gridCol w:w="4666"/>
      </w:tblGrid>
      <w:tr w14:paraId="3466FF2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2684" w:type="dxa"/>
            <w:tcBorders>
              <w:top w:val="single" w:color="auto" w:sz="8" w:space="0"/>
              <w:bottom w:val="single" w:color="auto" w:sz="8" w:space="0"/>
            </w:tcBorders>
            <w:shd w:val="clear" w:color="auto" w:fill="auto"/>
            <w:vAlign w:val="center"/>
          </w:tcPr>
          <w:p w14:paraId="793E6974">
            <w:pPr>
              <w:pStyle w:val="181"/>
            </w:pPr>
            <w:r>
              <w:rPr>
                <w:rFonts w:hint="eastAsia"/>
              </w:rPr>
              <w:t>对接</w:t>
            </w:r>
            <w:r>
              <w:t>系统</w:t>
            </w:r>
            <w:r>
              <w:rPr>
                <w:rFonts w:hint="eastAsia"/>
              </w:rPr>
              <w:t>名称</w:t>
            </w:r>
          </w:p>
        </w:tc>
        <w:tc>
          <w:tcPr>
            <w:tcW w:w="1984" w:type="dxa"/>
            <w:tcBorders>
              <w:top w:val="single" w:color="auto" w:sz="8" w:space="0"/>
              <w:bottom w:val="single" w:color="auto" w:sz="8" w:space="0"/>
            </w:tcBorders>
            <w:shd w:val="clear" w:color="auto" w:fill="auto"/>
            <w:vAlign w:val="center"/>
          </w:tcPr>
          <w:p w14:paraId="4E602F96">
            <w:pPr>
              <w:pStyle w:val="181"/>
            </w:pPr>
            <w:r>
              <w:rPr>
                <w:rFonts w:hint="eastAsia"/>
              </w:rPr>
              <w:t>主要</w:t>
            </w:r>
            <w:r>
              <w:t>接口</w:t>
            </w:r>
          </w:p>
        </w:tc>
        <w:tc>
          <w:tcPr>
            <w:tcW w:w="4666" w:type="dxa"/>
            <w:tcBorders>
              <w:top w:val="single" w:color="auto" w:sz="8" w:space="0"/>
              <w:bottom w:val="single" w:color="auto" w:sz="8" w:space="0"/>
            </w:tcBorders>
            <w:shd w:val="clear" w:color="auto" w:fill="auto"/>
            <w:vAlign w:val="center"/>
          </w:tcPr>
          <w:p w14:paraId="6812EE56">
            <w:pPr>
              <w:pStyle w:val="181"/>
            </w:pPr>
            <w:r>
              <w:rPr>
                <w:rFonts w:hint="eastAsia"/>
              </w:rPr>
              <w:t>主要</w:t>
            </w:r>
            <w:r>
              <w:t>交互</w:t>
            </w:r>
            <w:r>
              <w:rPr>
                <w:rFonts w:hint="eastAsia"/>
              </w:rPr>
              <w:t>信息</w:t>
            </w:r>
          </w:p>
        </w:tc>
      </w:tr>
      <w:tr w14:paraId="00D919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vMerge w:val="restart"/>
            <w:tcBorders>
              <w:top w:val="single" w:color="auto" w:sz="8" w:space="0"/>
            </w:tcBorders>
            <w:shd w:val="clear" w:color="auto" w:fill="auto"/>
            <w:vAlign w:val="center"/>
          </w:tcPr>
          <w:p w14:paraId="7550F2B1">
            <w:pPr>
              <w:pStyle w:val="181"/>
            </w:pPr>
            <w:r>
              <w:rPr>
                <w:rFonts w:hint="eastAsia"/>
              </w:rPr>
              <w:t>集装箱</w:t>
            </w:r>
            <w:r>
              <w:t>码头操作系统</w:t>
            </w:r>
          </w:p>
        </w:tc>
        <w:tc>
          <w:tcPr>
            <w:tcW w:w="1984" w:type="dxa"/>
            <w:tcBorders>
              <w:top w:val="single" w:color="auto" w:sz="8" w:space="0"/>
            </w:tcBorders>
            <w:shd w:val="clear" w:color="auto" w:fill="auto"/>
            <w:vAlign w:val="center"/>
          </w:tcPr>
          <w:p w14:paraId="4C83B4DC">
            <w:pPr>
              <w:pStyle w:val="181"/>
            </w:pPr>
            <w:r>
              <w:rPr>
                <w:rFonts w:hint="eastAsia"/>
              </w:rPr>
              <w:t>任务</w:t>
            </w:r>
            <w:r>
              <w:t>清单</w:t>
            </w:r>
          </w:p>
        </w:tc>
        <w:tc>
          <w:tcPr>
            <w:tcW w:w="4666" w:type="dxa"/>
            <w:tcBorders>
              <w:top w:val="single" w:color="auto" w:sz="8" w:space="0"/>
            </w:tcBorders>
            <w:shd w:val="clear" w:color="auto" w:fill="auto"/>
            <w:vAlign w:val="center"/>
          </w:tcPr>
          <w:p w14:paraId="136F3A9D">
            <w:pPr>
              <w:pStyle w:val="181"/>
              <w:jc w:val="both"/>
            </w:pPr>
            <w:r>
              <w:rPr>
                <w:rFonts w:hint="eastAsia"/>
              </w:rPr>
              <w:t>自动驾驶车辆当前位置</w:t>
            </w:r>
            <w:r>
              <w:t>、</w:t>
            </w:r>
            <w:r>
              <w:rPr>
                <w:rFonts w:hint="eastAsia"/>
              </w:rPr>
              <w:t>作业</w:t>
            </w:r>
            <w:r>
              <w:t>指令、</w:t>
            </w:r>
            <w:r>
              <w:rPr>
                <w:rFonts w:hint="eastAsia"/>
              </w:rPr>
              <w:t>工作</w:t>
            </w:r>
            <w:r>
              <w:t>状态、电池状态</w:t>
            </w:r>
            <w:r>
              <w:rPr>
                <w:rFonts w:hint="eastAsia"/>
              </w:rPr>
              <w:t>等</w:t>
            </w:r>
          </w:p>
        </w:tc>
      </w:tr>
      <w:tr w14:paraId="330E590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vMerge w:val="continue"/>
            <w:shd w:val="clear" w:color="auto" w:fill="auto"/>
            <w:vAlign w:val="center"/>
          </w:tcPr>
          <w:p w14:paraId="14E96772">
            <w:pPr>
              <w:pStyle w:val="181"/>
            </w:pPr>
          </w:p>
        </w:tc>
        <w:tc>
          <w:tcPr>
            <w:tcW w:w="1984" w:type="dxa"/>
            <w:tcBorders>
              <w:top w:val="single" w:color="auto" w:sz="8" w:space="0"/>
            </w:tcBorders>
            <w:shd w:val="clear" w:color="auto" w:fill="auto"/>
            <w:vAlign w:val="center"/>
          </w:tcPr>
          <w:p w14:paraId="7342B507">
            <w:pPr>
              <w:pStyle w:val="181"/>
            </w:pPr>
            <w:r>
              <w:rPr>
                <w:rFonts w:hint="eastAsia"/>
              </w:rPr>
              <w:t>集装箱</w:t>
            </w:r>
            <w:r>
              <w:t>起重机信息</w:t>
            </w:r>
          </w:p>
        </w:tc>
        <w:tc>
          <w:tcPr>
            <w:tcW w:w="4666" w:type="dxa"/>
            <w:tcBorders>
              <w:top w:val="single" w:color="auto" w:sz="8" w:space="0"/>
            </w:tcBorders>
            <w:shd w:val="clear" w:color="auto" w:fill="auto"/>
            <w:vAlign w:val="center"/>
          </w:tcPr>
          <w:p w14:paraId="1AFB841D">
            <w:pPr>
              <w:pStyle w:val="181"/>
              <w:jc w:val="both"/>
            </w:pPr>
            <w:r>
              <w:rPr>
                <w:rFonts w:hint="eastAsia"/>
              </w:rPr>
              <w:t>集装箱起重机号、车道号、贝位等</w:t>
            </w:r>
          </w:p>
        </w:tc>
      </w:tr>
      <w:tr w14:paraId="38C1B1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shd w:val="clear" w:color="auto" w:fill="auto"/>
            <w:vAlign w:val="center"/>
          </w:tcPr>
          <w:p w14:paraId="166D0182">
            <w:pPr>
              <w:pStyle w:val="181"/>
            </w:pPr>
          </w:p>
        </w:tc>
        <w:tc>
          <w:tcPr>
            <w:tcW w:w="1984" w:type="dxa"/>
            <w:tcBorders>
              <w:top w:val="single" w:color="auto" w:sz="8" w:space="0"/>
            </w:tcBorders>
            <w:shd w:val="clear" w:color="auto" w:fill="auto"/>
            <w:vAlign w:val="center"/>
          </w:tcPr>
          <w:p w14:paraId="39F668D2">
            <w:pPr>
              <w:pStyle w:val="181"/>
            </w:pPr>
            <w:r>
              <w:rPr>
                <w:rFonts w:hint="eastAsia"/>
              </w:rPr>
              <w:t>船舶信息</w:t>
            </w:r>
          </w:p>
        </w:tc>
        <w:tc>
          <w:tcPr>
            <w:tcW w:w="4666" w:type="dxa"/>
            <w:tcBorders>
              <w:top w:val="single" w:color="auto" w:sz="8" w:space="0"/>
            </w:tcBorders>
            <w:shd w:val="clear" w:color="auto" w:fill="auto"/>
            <w:vAlign w:val="center"/>
          </w:tcPr>
          <w:p w14:paraId="7EC13063">
            <w:pPr>
              <w:pStyle w:val="181"/>
              <w:jc w:val="both"/>
            </w:pPr>
            <w:r>
              <w:rPr>
                <w:rFonts w:hint="eastAsia"/>
              </w:rPr>
              <w:t>首/尾缆位置、靠泊方向等</w:t>
            </w:r>
          </w:p>
        </w:tc>
      </w:tr>
      <w:tr w14:paraId="6C58866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vMerge w:val="restart"/>
            <w:shd w:val="clear" w:color="auto" w:fill="auto"/>
            <w:vAlign w:val="center"/>
          </w:tcPr>
          <w:p w14:paraId="6343BB2C">
            <w:pPr>
              <w:pStyle w:val="181"/>
            </w:pPr>
            <w:r>
              <w:rPr>
                <w:rFonts w:hint="eastAsia"/>
              </w:rPr>
              <w:t>自动驾驶车辆单车控制系统</w:t>
            </w:r>
          </w:p>
        </w:tc>
        <w:tc>
          <w:tcPr>
            <w:tcW w:w="1984" w:type="dxa"/>
            <w:shd w:val="clear" w:color="auto" w:fill="auto"/>
            <w:vAlign w:val="center"/>
          </w:tcPr>
          <w:p w14:paraId="305DFBF9">
            <w:pPr>
              <w:pStyle w:val="181"/>
            </w:pPr>
            <w:r>
              <w:rPr>
                <w:rFonts w:hint="eastAsia"/>
              </w:rPr>
              <w:t>任务</w:t>
            </w:r>
            <w:r>
              <w:t>清单</w:t>
            </w:r>
          </w:p>
        </w:tc>
        <w:tc>
          <w:tcPr>
            <w:tcW w:w="4666" w:type="dxa"/>
            <w:shd w:val="clear" w:color="auto" w:fill="auto"/>
            <w:vAlign w:val="center"/>
          </w:tcPr>
          <w:p w14:paraId="7A520FF5">
            <w:pPr>
              <w:pStyle w:val="181"/>
              <w:jc w:val="both"/>
            </w:pPr>
            <w:r>
              <w:rPr>
                <w:rFonts w:hint="eastAsia"/>
              </w:rPr>
              <w:t>堆场集装箱起重机编号、作业序号、指令号、车道号、箱号、尺寸箱型、初始位置、目标位置、充电指令等</w:t>
            </w:r>
          </w:p>
        </w:tc>
      </w:tr>
      <w:tr w14:paraId="503D3F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vMerge w:val="continue"/>
            <w:shd w:val="clear" w:color="auto" w:fill="auto"/>
            <w:vAlign w:val="center"/>
          </w:tcPr>
          <w:p w14:paraId="215FDBFB">
            <w:pPr>
              <w:pStyle w:val="181"/>
            </w:pPr>
          </w:p>
        </w:tc>
        <w:tc>
          <w:tcPr>
            <w:tcW w:w="1984" w:type="dxa"/>
            <w:shd w:val="clear" w:color="auto" w:fill="auto"/>
            <w:vAlign w:val="center"/>
          </w:tcPr>
          <w:p w14:paraId="32415B27">
            <w:pPr>
              <w:pStyle w:val="181"/>
            </w:pPr>
            <w:r>
              <w:rPr>
                <w:rFonts w:hint="eastAsia"/>
              </w:rPr>
              <w:t>水平</w:t>
            </w:r>
            <w:r>
              <w:t>运输机械状态</w:t>
            </w:r>
          </w:p>
        </w:tc>
        <w:tc>
          <w:tcPr>
            <w:tcW w:w="4666" w:type="dxa"/>
            <w:shd w:val="clear" w:color="auto" w:fill="auto"/>
            <w:vAlign w:val="center"/>
          </w:tcPr>
          <w:p w14:paraId="354F6D11">
            <w:pPr>
              <w:pStyle w:val="181"/>
              <w:jc w:val="both"/>
            </w:pPr>
            <w:r>
              <w:rPr>
                <w:rFonts w:hint="eastAsia"/>
              </w:rPr>
              <w:t>车辆编号、作业类型、指令执行状态、当前执行的指令号、行驶速度、当前位置、故障信息等</w:t>
            </w:r>
          </w:p>
        </w:tc>
      </w:tr>
      <w:tr w14:paraId="4305F5E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shd w:val="clear" w:color="auto" w:fill="auto"/>
            <w:vAlign w:val="center"/>
          </w:tcPr>
          <w:p w14:paraId="0E617A04">
            <w:pPr>
              <w:pStyle w:val="181"/>
            </w:pPr>
            <w:r>
              <w:rPr>
                <w:rFonts w:hint="eastAsia"/>
              </w:rPr>
              <w:t>岸边</w:t>
            </w:r>
            <w:r>
              <w:t>机械</w:t>
            </w:r>
            <w:r>
              <w:rPr>
                <w:rFonts w:hint="eastAsia"/>
              </w:rPr>
              <w:t>调度管理系统</w:t>
            </w:r>
          </w:p>
        </w:tc>
        <w:tc>
          <w:tcPr>
            <w:tcW w:w="1984" w:type="dxa"/>
            <w:shd w:val="clear" w:color="auto" w:fill="auto"/>
            <w:vAlign w:val="center"/>
          </w:tcPr>
          <w:p w14:paraId="17773F60">
            <w:pPr>
              <w:pStyle w:val="181"/>
            </w:pPr>
            <w:r>
              <w:rPr>
                <w:rFonts w:hint="eastAsia"/>
              </w:rPr>
              <w:t>任务清单</w:t>
            </w:r>
          </w:p>
        </w:tc>
        <w:tc>
          <w:tcPr>
            <w:tcW w:w="4666" w:type="dxa"/>
            <w:shd w:val="clear" w:color="auto" w:fill="auto"/>
            <w:vAlign w:val="center"/>
          </w:tcPr>
          <w:p w14:paraId="34288D8F">
            <w:pPr>
              <w:pStyle w:val="181"/>
              <w:jc w:val="left"/>
            </w:pPr>
            <w:r>
              <w:rPr>
                <w:rFonts w:hint="eastAsia"/>
              </w:rPr>
              <w:t>岸边集装箱起重机编号、作业序号、指令号、车道号、箱号、尺寸箱型、初始位置、目标位置等</w:t>
            </w:r>
          </w:p>
        </w:tc>
      </w:tr>
      <w:tr w14:paraId="568F115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vMerge w:val="restart"/>
            <w:shd w:val="clear" w:color="auto" w:fill="auto"/>
            <w:vAlign w:val="center"/>
          </w:tcPr>
          <w:p w14:paraId="1A7E765C">
            <w:pPr>
              <w:pStyle w:val="181"/>
            </w:pPr>
            <w:r>
              <w:rPr>
                <w:rFonts w:hint="eastAsia"/>
              </w:rPr>
              <w:t>堆场</w:t>
            </w:r>
            <w:r>
              <w:t>机械</w:t>
            </w:r>
            <w:r>
              <w:rPr>
                <w:rFonts w:hint="eastAsia"/>
              </w:rPr>
              <w:t>调度管理系统</w:t>
            </w:r>
          </w:p>
        </w:tc>
        <w:tc>
          <w:tcPr>
            <w:tcW w:w="1984" w:type="dxa"/>
            <w:shd w:val="clear" w:color="auto" w:fill="auto"/>
            <w:vAlign w:val="center"/>
          </w:tcPr>
          <w:p w14:paraId="3414E013">
            <w:pPr>
              <w:pStyle w:val="181"/>
            </w:pPr>
            <w:r>
              <w:rPr>
                <w:rFonts w:hint="eastAsia"/>
              </w:rPr>
              <w:t>任务</w:t>
            </w:r>
            <w:r>
              <w:t>清单</w:t>
            </w:r>
          </w:p>
        </w:tc>
        <w:tc>
          <w:tcPr>
            <w:tcW w:w="4666" w:type="dxa"/>
            <w:shd w:val="clear" w:color="auto" w:fill="auto"/>
            <w:vAlign w:val="center"/>
          </w:tcPr>
          <w:p w14:paraId="493C02E7">
            <w:pPr>
              <w:pStyle w:val="181"/>
              <w:jc w:val="left"/>
            </w:pPr>
            <w:r>
              <w:rPr>
                <w:rFonts w:hint="eastAsia"/>
              </w:rPr>
              <w:t>堆场集装箱起重机编号、作业序号、指令号、车道号、箱号、尺寸箱型、初始位置、目标位置等</w:t>
            </w:r>
          </w:p>
        </w:tc>
      </w:tr>
      <w:tr w14:paraId="5FA92B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vMerge w:val="continue"/>
            <w:shd w:val="clear" w:color="auto" w:fill="auto"/>
            <w:vAlign w:val="center"/>
          </w:tcPr>
          <w:p w14:paraId="4BEB69FE">
            <w:pPr>
              <w:pStyle w:val="181"/>
            </w:pPr>
          </w:p>
        </w:tc>
        <w:tc>
          <w:tcPr>
            <w:tcW w:w="1984" w:type="dxa"/>
            <w:shd w:val="clear" w:color="auto" w:fill="auto"/>
            <w:vAlign w:val="center"/>
          </w:tcPr>
          <w:p w14:paraId="2D0C7A52">
            <w:pPr>
              <w:pStyle w:val="181"/>
            </w:pPr>
            <w:r>
              <w:rPr>
                <w:rFonts w:hint="eastAsia"/>
              </w:rPr>
              <w:t>贝</w:t>
            </w:r>
            <w:r>
              <w:t>位</w:t>
            </w:r>
            <w:r>
              <w:rPr>
                <w:rFonts w:hint="eastAsia"/>
              </w:rPr>
              <w:t>信息</w:t>
            </w:r>
          </w:p>
        </w:tc>
        <w:tc>
          <w:tcPr>
            <w:tcW w:w="4666" w:type="dxa"/>
            <w:shd w:val="clear" w:color="auto" w:fill="auto"/>
            <w:vAlign w:val="center"/>
          </w:tcPr>
          <w:p w14:paraId="59236C5F">
            <w:pPr>
              <w:pStyle w:val="181"/>
              <w:jc w:val="left"/>
            </w:pPr>
            <w:r>
              <w:rPr>
                <w:rFonts w:hint="eastAsia"/>
              </w:rPr>
              <w:t>堆区号、贝位号等</w:t>
            </w:r>
          </w:p>
        </w:tc>
      </w:tr>
      <w:tr w14:paraId="08C4F48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56" w:hRule="atLeast"/>
          <w:jc w:val="center"/>
        </w:trPr>
        <w:tc>
          <w:tcPr>
            <w:tcW w:w="2684" w:type="dxa"/>
            <w:shd w:val="clear" w:color="auto" w:fill="auto"/>
            <w:vAlign w:val="center"/>
          </w:tcPr>
          <w:p w14:paraId="3F35C877">
            <w:pPr>
              <w:pStyle w:val="181"/>
            </w:pPr>
            <w:r>
              <w:rPr>
                <w:rFonts w:hint="eastAsia"/>
              </w:rPr>
              <w:t>充电桩管理系统</w:t>
            </w:r>
          </w:p>
        </w:tc>
        <w:tc>
          <w:tcPr>
            <w:tcW w:w="1984" w:type="dxa"/>
            <w:shd w:val="clear" w:color="auto" w:fill="auto"/>
            <w:vAlign w:val="center"/>
          </w:tcPr>
          <w:p w14:paraId="40B2B70D">
            <w:pPr>
              <w:pStyle w:val="181"/>
            </w:pPr>
            <w:r>
              <w:rPr>
                <w:rFonts w:hint="eastAsia"/>
              </w:rPr>
              <w:t>任务清单</w:t>
            </w:r>
          </w:p>
        </w:tc>
        <w:tc>
          <w:tcPr>
            <w:tcW w:w="4666" w:type="dxa"/>
            <w:shd w:val="clear" w:color="auto" w:fill="auto"/>
            <w:vAlign w:val="center"/>
          </w:tcPr>
          <w:p w14:paraId="70C965CD">
            <w:pPr>
              <w:pStyle w:val="181"/>
              <w:jc w:val="left"/>
            </w:pPr>
            <w:r>
              <w:rPr>
                <w:rFonts w:hint="eastAsia"/>
              </w:rPr>
              <w:t>充电桩使用情况</w:t>
            </w:r>
          </w:p>
        </w:tc>
      </w:tr>
      <w:tr w14:paraId="0F36F7D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2684" w:type="dxa"/>
            <w:shd w:val="clear" w:color="auto" w:fill="auto"/>
            <w:vAlign w:val="center"/>
          </w:tcPr>
          <w:p w14:paraId="243EEA53">
            <w:pPr>
              <w:pStyle w:val="181"/>
            </w:pPr>
            <w:r>
              <w:rPr>
                <w:rFonts w:hint="eastAsia"/>
              </w:rPr>
              <w:t>换电站管理系统</w:t>
            </w:r>
          </w:p>
        </w:tc>
        <w:tc>
          <w:tcPr>
            <w:tcW w:w="1984" w:type="dxa"/>
            <w:shd w:val="clear" w:color="auto" w:fill="auto"/>
            <w:vAlign w:val="center"/>
          </w:tcPr>
          <w:p w14:paraId="7F2B6C8F">
            <w:pPr>
              <w:pStyle w:val="181"/>
            </w:pPr>
            <w:r>
              <w:rPr>
                <w:rFonts w:hint="eastAsia"/>
              </w:rPr>
              <w:t>任务清单</w:t>
            </w:r>
          </w:p>
        </w:tc>
        <w:tc>
          <w:tcPr>
            <w:tcW w:w="4666" w:type="dxa"/>
            <w:shd w:val="clear" w:color="auto" w:fill="auto"/>
            <w:vAlign w:val="center"/>
          </w:tcPr>
          <w:p w14:paraId="72B03A25">
            <w:pPr>
              <w:pStyle w:val="181"/>
              <w:jc w:val="left"/>
            </w:pPr>
            <w:r>
              <w:rPr>
                <w:rFonts w:hint="eastAsia" w:hAnsi="宋体"/>
              </w:rPr>
              <w:t>换电站运行</w:t>
            </w:r>
            <w:r>
              <w:rPr>
                <w:rFonts w:hAnsi="宋体"/>
              </w:rPr>
              <w:t>状态、</w:t>
            </w:r>
            <w:r>
              <w:rPr>
                <w:rFonts w:hint="eastAsia" w:hAnsi="宋体"/>
              </w:rPr>
              <w:t>等待</w:t>
            </w:r>
            <w:r>
              <w:rPr>
                <w:rFonts w:hAnsi="宋体"/>
              </w:rPr>
              <w:t>时间</w:t>
            </w:r>
            <w:r>
              <w:rPr>
                <w:rFonts w:hint="eastAsia" w:hAnsi="宋体"/>
              </w:rPr>
              <w:t>等</w:t>
            </w:r>
          </w:p>
        </w:tc>
      </w:tr>
    </w:tbl>
    <w:p w14:paraId="5C67594B">
      <w:pPr>
        <w:pStyle w:val="107"/>
        <w:spacing w:before="240" w:after="240"/>
      </w:pPr>
      <w:bookmarkStart w:id="61" w:name="_Toc11501"/>
      <w:bookmarkStart w:id="62" w:name="_Toc2641"/>
      <w:r>
        <w:rPr>
          <w:rFonts w:hint="eastAsia"/>
        </w:rPr>
        <w:t>作业调度与路径规划</w:t>
      </w:r>
      <w:bookmarkEnd w:id="61"/>
      <w:bookmarkEnd w:id="62"/>
    </w:p>
    <w:p w14:paraId="2FE0CF7C">
      <w:pPr>
        <w:pStyle w:val="165"/>
        <w:ind w:left="0"/>
      </w:pPr>
      <w:r>
        <w:rPr>
          <w:rFonts w:hint="eastAsia"/>
        </w:rPr>
        <w:t>车队智能调度管理系统应能</w:t>
      </w:r>
      <w:r>
        <w:t>接收</w:t>
      </w:r>
      <w:r>
        <w:rPr>
          <w:rFonts w:hint="eastAsia"/>
        </w:rPr>
        <w:t>码头操作系统</w:t>
      </w:r>
      <w:r>
        <w:t>作业</w:t>
      </w:r>
      <w:r>
        <w:rPr>
          <w:rFonts w:hint="eastAsia"/>
        </w:rPr>
        <w:t>指令</w:t>
      </w:r>
      <w:r>
        <w:t>，派发作业任务给</w:t>
      </w:r>
      <w:r>
        <w:rPr>
          <w:rFonts w:hint="eastAsia"/>
        </w:rPr>
        <w:t>自动驾驶车辆。</w:t>
      </w:r>
    </w:p>
    <w:p w14:paraId="7CA1D7CC">
      <w:pPr>
        <w:pStyle w:val="165"/>
        <w:ind w:left="0"/>
      </w:pPr>
      <w:r>
        <w:rPr>
          <w:rFonts w:hint="eastAsia"/>
        </w:rPr>
        <w:t>车队智能调度管理系统应对</w:t>
      </w:r>
      <w:r>
        <w:rPr>
          <w:rFonts w:hint="eastAsia" w:hAnsi="宋体"/>
        </w:rPr>
        <w:t>接收的码头操作系统下发的作业任务指令进行验证，如作业任务指令与设定的规则冲突或者不可执行，应实时反馈给码头操作系统。</w:t>
      </w:r>
    </w:p>
    <w:p w14:paraId="65110A2C">
      <w:pPr>
        <w:pStyle w:val="165"/>
        <w:ind w:left="0"/>
      </w:pPr>
      <w:r>
        <w:rPr>
          <w:rFonts w:hint="eastAsia"/>
        </w:rPr>
        <w:t>车队智能调度管理系统应能根据港区内交通情况合理规划路径。</w:t>
      </w:r>
    </w:p>
    <w:p w14:paraId="6716D031">
      <w:pPr>
        <w:pStyle w:val="165"/>
        <w:ind w:left="0"/>
      </w:pPr>
      <w:r>
        <w:rPr>
          <w:rFonts w:hint="eastAsia"/>
        </w:rPr>
        <w:t>车队智能调度管理系统</w:t>
      </w:r>
      <w:r>
        <w:rPr>
          <w:rFonts w:hint="eastAsia"/>
          <w:lang w:eastAsia="zh-CN"/>
        </w:rPr>
        <w:t>宜</w:t>
      </w:r>
      <w:r>
        <w:rPr>
          <w:rFonts w:hint="eastAsia"/>
        </w:rPr>
        <w:t>以作业时间最短、作业效率最高为原则进行路径规划。</w:t>
      </w:r>
    </w:p>
    <w:p w14:paraId="5AD0C303">
      <w:pPr>
        <w:pStyle w:val="165"/>
        <w:ind w:left="0"/>
      </w:pPr>
      <w:r>
        <w:rPr>
          <w:rFonts w:hint="eastAsia"/>
        </w:rPr>
        <w:t>车队智能调度管理系统应能根据作业任务目标位置、作业类型以及船舶靠泊方向等因素为自动驾驶车辆规划合理的行驶路线。</w:t>
      </w:r>
    </w:p>
    <w:p w14:paraId="30C105AA">
      <w:pPr>
        <w:pStyle w:val="165"/>
        <w:ind w:left="0"/>
      </w:pPr>
      <w:r>
        <w:rPr>
          <w:rFonts w:hint="eastAsia"/>
        </w:rPr>
        <w:t>车队智能调度管理系统作业任务派发及自动驾驶车辆行车路线规划应合理利用现场资源，满足装卸需求，避免拥堵。</w:t>
      </w:r>
    </w:p>
    <w:p w14:paraId="3336B6EF">
      <w:pPr>
        <w:pStyle w:val="165"/>
        <w:ind w:left="0"/>
      </w:pPr>
      <w:r>
        <w:rPr>
          <w:rFonts w:hint="eastAsia" w:hAnsi="宋体"/>
        </w:rPr>
        <w:t>车队智能调度管理系统应能通过采用人工智能算法，使用深度学习、强化学习等技术，实现多车路径规划，宜具备对作业效率等车队运行数据进行智能分析的功能，实现作业调度优化。</w:t>
      </w:r>
    </w:p>
    <w:p w14:paraId="13E6D34E">
      <w:pPr>
        <w:pStyle w:val="107"/>
        <w:spacing w:before="240" w:after="240"/>
      </w:pPr>
      <w:bookmarkStart w:id="63" w:name="_Toc17645"/>
      <w:bookmarkStart w:id="64" w:name="_Toc16490"/>
      <w:r>
        <w:rPr>
          <w:rFonts w:hint="eastAsia"/>
        </w:rPr>
        <w:t>车辆状态监控</w:t>
      </w:r>
      <w:bookmarkEnd w:id="63"/>
      <w:bookmarkEnd w:id="64"/>
    </w:p>
    <w:p w14:paraId="53FD6036">
      <w:pPr>
        <w:pStyle w:val="165"/>
        <w:ind w:left="0"/>
        <w:outlineLvl w:val="1"/>
      </w:pPr>
      <w:r>
        <w:rPr>
          <w:rFonts w:hint="eastAsia"/>
        </w:rPr>
        <w:t>车辆状态监控系统监控的信息至少应包括：</w:t>
      </w:r>
    </w:p>
    <w:p w14:paraId="1CBA003E">
      <w:pPr>
        <w:pStyle w:val="177"/>
        <w:numPr>
          <w:ilvl w:val="0"/>
          <w:numId w:val="33"/>
        </w:numPr>
      </w:pPr>
      <w:r>
        <w:rPr>
          <w:rFonts w:hint="eastAsia"/>
        </w:rPr>
        <w:t>基础信息，包括车辆编号、速度、自动驾驶系统状态、车辆状态、人工接管状态以及对位状态等；</w:t>
      </w:r>
    </w:p>
    <w:p w14:paraId="5E42A547">
      <w:pPr>
        <w:pStyle w:val="177"/>
      </w:pPr>
      <w:r>
        <w:rPr>
          <w:rFonts w:hint="eastAsia"/>
        </w:rPr>
        <w:t>码头操作系统任务信息，包括作业序号、作业类型、任务箱号、源位置、目标位置等；</w:t>
      </w:r>
    </w:p>
    <w:p w14:paraId="28A73748">
      <w:pPr>
        <w:pStyle w:val="177"/>
      </w:pPr>
      <w:r>
        <w:rPr>
          <w:rFonts w:hint="eastAsia"/>
        </w:rPr>
        <w:t>智能检测设备及系统信息，包括激光雷达、摄像机、毫米波雷达、导航设备、计算单元、5G通信设备等；</w:t>
      </w:r>
    </w:p>
    <w:p w14:paraId="67FEB73F">
      <w:pPr>
        <w:pStyle w:val="177"/>
      </w:pPr>
      <w:r>
        <w:rPr>
          <w:rFonts w:hint="eastAsia"/>
        </w:rPr>
        <w:t>车辆参数信息，包括给定速度、实际速度、行驶方向、转向角度、制动器状态等；</w:t>
      </w:r>
    </w:p>
    <w:p w14:paraId="5392DD2A">
      <w:pPr>
        <w:pStyle w:val="177"/>
      </w:pPr>
      <w:r>
        <w:rPr>
          <w:rFonts w:hint="eastAsia"/>
        </w:rPr>
        <w:t>定位信息，包括全球卫星导航系统定位、视觉语义定位、激光全局定位、激光语义定位、激光SLAM定位等；</w:t>
      </w:r>
    </w:p>
    <w:p w14:paraId="015CDCDC">
      <w:pPr>
        <w:pStyle w:val="177"/>
      </w:pPr>
      <w:r>
        <w:rPr>
          <w:rFonts w:hint="eastAsia"/>
        </w:rPr>
        <w:t>规划控制信息，包括规划状态、决策状态、控制状态等。</w:t>
      </w:r>
    </w:p>
    <w:p w14:paraId="23406AAB">
      <w:pPr>
        <w:pStyle w:val="165"/>
        <w:ind w:left="0"/>
        <w:outlineLvl w:val="1"/>
      </w:pPr>
      <w:r>
        <w:rPr>
          <w:rFonts w:hint="eastAsia"/>
        </w:rPr>
        <w:t>车辆状态监控系统的监控信息应能够及时反馈到车队智能调度管理系统。</w:t>
      </w:r>
    </w:p>
    <w:p w14:paraId="1D72DEEA">
      <w:pPr>
        <w:pStyle w:val="107"/>
        <w:spacing w:before="240" w:after="240"/>
      </w:pPr>
      <w:bookmarkStart w:id="65" w:name="_Toc23492"/>
      <w:bookmarkStart w:id="66" w:name="_Toc181"/>
      <w:r>
        <w:rPr>
          <w:rFonts w:hint="eastAsia"/>
        </w:rPr>
        <w:t>非正常状态管理</w:t>
      </w:r>
      <w:bookmarkEnd w:id="65"/>
      <w:bookmarkEnd w:id="66"/>
    </w:p>
    <w:p w14:paraId="02A5EE4A">
      <w:pPr>
        <w:pStyle w:val="165"/>
        <w:ind w:left="0"/>
      </w:pPr>
      <w:r>
        <w:rPr>
          <w:rFonts w:hint="eastAsia"/>
        </w:rPr>
        <w:t>车队智能调度管理系统交通控制算法应具备根据任务信息和相关条件限制最优化路口通行权的功能。</w:t>
      </w:r>
    </w:p>
    <w:p w14:paraId="24367D03">
      <w:pPr>
        <w:pStyle w:val="165"/>
        <w:ind w:left="0"/>
      </w:pPr>
      <w:r>
        <w:rPr>
          <w:rFonts w:hint="eastAsia"/>
        </w:rPr>
        <w:t>车队智能调度管理系统应能配合码头操作系统实现缓冲区管理，调度无作业任务的自动驾驶车辆到不影响生产作业的区域停放，宜具备自动规划动态作业缓冲区的功能。</w:t>
      </w:r>
    </w:p>
    <w:p w14:paraId="0265DEB8">
      <w:pPr>
        <w:pStyle w:val="165"/>
        <w:ind w:left="0"/>
      </w:pPr>
      <w:r>
        <w:rPr>
          <w:rFonts w:hint="eastAsia"/>
        </w:rPr>
        <w:t>车队智能调度管理系统应能支持单车控制系统远程故障诊断、故障上报。</w:t>
      </w:r>
    </w:p>
    <w:p w14:paraId="5AAD2536">
      <w:pPr>
        <w:pStyle w:val="165"/>
        <w:ind w:left="0"/>
      </w:pPr>
      <w:r>
        <w:rPr>
          <w:rFonts w:hint="eastAsia"/>
        </w:rPr>
        <w:t>应根据自动驾驶车辆数量，配备一定数量的远程驾驶系统，用于自动驾驶车辆异常情况下和复杂路况下的远程人工控制。</w:t>
      </w:r>
    </w:p>
    <w:p w14:paraId="3246AE4C">
      <w:pPr>
        <w:pStyle w:val="165"/>
        <w:ind w:left="0"/>
      </w:pPr>
      <w:r>
        <w:rPr>
          <w:rFonts w:hint="eastAsia"/>
        </w:rPr>
        <w:t>远程驾驶系统的工作任务由车队智能调度管理系统进行分配和管理。</w:t>
      </w:r>
    </w:p>
    <w:p w14:paraId="3F887BFE">
      <w:pPr>
        <w:pStyle w:val="165"/>
        <w:ind w:left="0"/>
      </w:pPr>
      <w:r>
        <w:rPr>
          <w:rFonts w:hint="eastAsia"/>
        </w:rPr>
        <w:t>远程驾驶系统应能自动将需要人工接管的自动驾驶车辆接入相应的远程驾驶工作台。</w:t>
      </w:r>
    </w:p>
    <w:p w14:paraId="7C5AE569">
      <w:pPr>
        <w:pStyle w:val="165"/>
        <w:ind w:left="0"/>
      </w:pPr>
      <w:r>
        <w:rPr>
          <w:rFonts w:hint="eastAsia"/>
        </w:rPr>
        <w:t>远程驾驶系统应能支持远程快捷控车，并进行远程辅助作业。在单车控制系统无法处理的异常场景下，如车辆死锁、对位失败、感知误检测等，远程驾驶系统应能接管自动驾驶车辆并远程控制自动驾驶车辆进行作业或操控自动驾驶车辆行驶到缓冲区域。</w:t>
      </w:r>
    </w:p>
    <w:p w14:paraId="127120FF">
      <w:pPr>
        <w:pStyle w:val="165"/>
        <w:ind w:left="0"/>
      </w:pPr>
      <w:r>
        <w:rPr>
          <w:rFonts w:hint="eastAsia"/>
        </w:rPr>
        <w:t>远程驾驶系统应能采集接管的自动驾驶车辆的车速、行驶方向、行驶路径、作业任务、电池电量等单车状态信息，实时上传并在远程驾驶工作台显示。</w:t>
      </w:r>
    </w:p>
    <w:p w14:paraId="37542C58">
      <w:pPr>
        <w:pStyle w:val="165"/>
        <w:ind w:left="0"/>
      </w:pPr>
      <w:r>
        <w:rPr>
          <w:rFonts w:hint="eastAsia"/>
        </w:rPr>
        <w:t>远程驾驶系统应采取足够的安全措施以应对不同等级的网络异常情况，如延迟过大、网络断开、通讯异常等，应具备异常情况下的急停控制功能。</w:t>
      </w:r>
    </w:p>
    <w:p w14:paraId="048F7362">
      <w:pPr>
        <w:pStyle w:val="165"/>
        <w:ind w:left="0"/>
      </w:pPr>
      <w:r>
        <w:rPr>
          <w:rFonts w:hint="eastAsia"/>
        </w:rPr>
        <w:t>在远程驾驶工作台中，应设计三个不同级别的权限：操作员、技术员、工程师。操作员具有启停设备更换程序权限，技术员具有根据规格更改参数权限和操作员权限，工程师应具有更改设定规格，增加相应参数权限和操作员、技术员权限。</w:t>
      </w:r>
    </w:p>
    <w:p w14:paraId="6AE5CB4F">
      <w:pPr>
        <w:pStyle w:val="165"/>
        <w:ind w:left="0"/>
      </w:pPr>
      <w:r>
        <w:rPr>
          <w:rFonts w:hint="eastAsia"/>
        </w:rPr>
        <w:t>远程驾驶工作台的人机界面配置应符合GB/T 4205的相关规定。</w:t>
      </w:r>
    </w:p>
    <w:p w14:paraId="09FDA6BF">
      <w:pPr>
        <w:pStyle w:val="107"/>
        <w:spacing w:before="240" w:after="240"/>
      </w:pPr>
      <w:bookmarkStart w:id="67" w:name="_Toc7674"/>
      <w:bookmarkStart w:id="68" w:name="_Toc2741"/>
      <w:r>
        <w:rPr>
          <w:rFonts w:hint="eastAsia"/>
        </w:rPr>
        <w:t>充/换电管理</w:t>
      </w:r>
      <w:bookmarkEnd w:id="67"/>
      <w:bookmarkEnd w:id="68"/>
    </w:p>
    <w:p w14:paraId="1CF3BA53">
      <w:pPr>
        <w:pStyle w:val="165"/>
        <w:ind w:left="0"/>
      </w:pPr>
      <w:r>
        <w:rPr>
          <w:rFonts w:hint="eastAsia"/>
        </w:rPr>
        <w:t>自动驾驶车辆采用充电方案时，车队智能调度管理系统充电管理模块应具备获取充电桩位置、充电桩状态、充电电流、充电剩余时间等信息的功能，并能与自动驾驶车辆和充电桩进行通信。</w:t>
      </w:r>
    </w:p>
    <w:p w14:paraId="47380989">
      <w:pPr>
        <w:pStyle w:val="165"/>
        <w:ind w:left="0"/>
      </w:pPr>
      <w:r>
        <w:rPr>
          <w:rFonts w:hint="eastAsia"/>
        </w:rPr>
        <w:t>自动驾驶车辆采用换电方案时，车队智能调度管理系统换电管理模块应具备获取换电站运行状态、等待时间等信息的功能，并能与自动驾驶车辆和换电站进行通信。</w:t>
      </w:r>
    </w:p>
    <w:p w14:paraId="3A37247E">
      <w:pPr>
        <w:pStyle w:val="165"/>
        <w:ind w:left="0"/>
      </w:pPr>
      <w:r>
        <w:rPr>
          <w:rFonts w:hint="eastAsia"/>
        </w:rPr>
        <w:t>自动驾驶车辆应根据车队智能调度管理系统指令，自动前往充/换电区域进行自动充/换电。</w:t>
      </w:r>
    </w:p>
    <w:p w14:paraId="2052FF90">
      <w:pPr>
        <w:pStyle w:val="165"/>
        <w:ind w:left="0"/>
      </w:pPr>
      <w:r>
        <w:rPr>
          <w:rFonts w:hint="eastAsia"/>
        </w:rPr>
        <w:t>充电桩/换电站设备管理系统应能实时监控自动驾驶车辆电池状态，根据自动驾驶车辆剩余电量、任务管理、充/换电站作业情况等信息，智能分配自动驾驶车辆充/换电顺序。</w:t>
      </w:r>
    </w:p>
    <w:p w14:paraId="450BCE3B">
      <w:pPr>
        <w:pStyle w:val="165"/>
        <w:ind w:left="0"/>
      </w:pPr>
      <w:r>
        <w:rPr>
          <w:rFonts w:hint="eastAsia"/>
        </w:rPr>
        <w:t>充电桩/换电站设备管理系统应具备自动驾驶车辆能源消耗统计及分析功能。</w:t>
      </w:r>
    </w:p>
    <w:p w14:paraId="7C89B03F">
      <w:pPr>
        <w:pStyle w:val="107"/>
        <w:spacing w:before="240" w:after="240"/>
      </w:pPr>
      <w:bookmarkStart w:id="69" w:name="_Toc131"/>
      <w:bookmarkStart w:id="70" w:name="_Toc3348"/>
      <w:r>
        <w:rPr>
          <w:rFonts w:hint="eastAsia"/>
        </w:rPr>
        <w:t>运行数据统计分析</w:t>
      </w:r>
      <w:bookmarkEnd w:id="69"/>
      <w:bookmarkEnd w:id="70"/>
    </w:p>
    <w:p w14:paraId="7F8E9B50">
      <w:pPr>
        <w:pStyle w:val="165"/>
        <w:ind w:left="0"/>
      </w:pPr>
      <w:r>
        <w:rPr>
          <w:rFonts w:hint="eastAsia"/>
        </w:rPr>
        <w:t>自动驾驶车队</w:t>
      </w:r>
      <w:r>
        <w:rPr>
          <w:rFonts w:hint="eastAsia" w:hAnsi="宋体"/>
        </w:rPr>
        <w:t>应具有数据记录功能，</w:t>
      </w:r>
      <w:r>
        <w:rPr>
          <w:rFonts w:hint="eastAsia"/>
        </w:rPr>
        <w:t>需要对周边的环境信息和车辆运行信息进行采集。</w:t>
      </w:r>
    </w:p>
    <w:p w14:paraId="20D23C66">
      <w:pPr>
        <w:pStyle w:val="165"/>
        <w:ind w:left="0"/>
        <w:rPr>
          <w:rFonts w:hAnsi="宋体"/>
        </w:rPr>
      </w:pPr>
      <w:r>
        <w:rPr>
          <w:rFonts w:hint="eastAsia"/>
        </w:rPr>
        <w:t>车队智能调度管理系统应</w:t>
      </w:r>
      <w:r>
        <w:rPr>
          <w:rFonts w:hint="eastAsia" w:hAnsi="宋体"/>
        </w:rPr>
        <w:t>能够存储全部作业和车辆运行状态信息。</w:t>
      </w:r>
    </w:p>
    <w:p w14:paraId="21C74B0E">
      <w:pPr>
        <w:pStyle w:val="165"/>
        <w:ind w:left="0"/>
        <w:rPr>
          <w:rFonts w:hAnsi="宋体"/>
        </w:rPr>
      </w:pPr>
      <w:r>
        <w:rPr>
          <w:rFonts w:hint="eastAsia"/>
        </w:rPr>
        <w:t>车队智能调度管理系统应能够</w:t>
      </w:r>
      <w:r>
        <w:t>时间统计</w:t>
      </w:r>
      <w:r>
        <w:rPr>
          <w:rFonts w:hint="eastAsia" w:hAnsi="宋体"/>
        </w:rPr>
        <w:t>每台自动驾驶车辆的工作时长、故障次数、故障小时、利用率、故障率、作业量、公里数，也可以按时间统计所有</w:t>
      </w:r>
      <w:r>
        <w:rPr>
          <w:rFonts w:hAnsi="宋体"/>
        </w:rPr>
        <w:t>自动驾驶水平运输设备</w:t>
      </w:r>
      <w:r>
        <w:rPr>
          <w:rFonts w:hint="eastAsia" w:hAnsi="宋体"/>
        </w:rPr>
        <w:t>的</w:t>
      </w:r>
      <w:r>
        <w:rPr>
          <w:rFonts w:hAnsi="宋体"/>
        </w:rPr>
        <w:t>工作时长</w:t>
      </w:r>
      <w:r>
        <w:rPr>
          <w:rFonts w:hint="eastAsia" w:hAnsi="宋体"/>
        </w:rPr>
        <w:t>、故障次数、故障小时、完好率、利用率、故障率、作业量、公里数、箱型进行统计。</w:t>
      </w:r>
    </w:p>
    <w:p w14:paraId="56ECF05F">
      <w:pPr>
        <w:pStyle w:val="165"/>
        <w:ind w:left="0"/>
        <w:rPr>
          <w:rFonts w:hAnsi="宋体"/>
        </w:rPr>
      </w:pPr>
      <w:r>
        <w:rPr>
          <w:rFonts w:hint="eastAsia"/>
        </w:rPr>
        <w:t>车队智能调度管理系统应</w:t>
      </w:r>
      <w:r>
        <w:rPr>
          <w:rFonts w:hint="eastAsia" w:hAnsi="宋体"/>
        </w:rPr>
        <w:t>支持用户自主选择存储信息内容。</w:t>
      </w:r>
    </w:p>
    <w:p w14:paraId="6D133634">
      <w:pPr>
        <w:pStyle w:val="165"/>
        <w:ind w:left="0"/>
        <w:rPr>
          <w:rFonts w:hAnsi="宋体"/>
        </w:rPr>
      </w:pPr>
      <w:r>
        <w:rPr>
          <w:rFonts w:hint="eastAsia"/>
        </w:rPr>
        <w:t>车队智能调度管理系统应</w:t>
      </w:r>
      <w:r>
        <w:rPr>
          <w:rFonts w:hint="eastAsia" w:hAnsi="宋体"/>
        </w:rPr>
        <w:t>支持以多种条目或关键词进行的信息检索。</w:t>
      </w:r>
    </w:p>
    <w:p w14:paraId="73D7E022">
      <w:pPr>
        <w:pStyle w:val="165"/>
        <w:ind w:left="0"/>
        <w:rPr>
          <w:rFonts w:hAnsi="宋体"/>
        </w:rPr>
      </w:pPr>
      <w:r>
        <w:rPr>
          <w:rFonts w:hint="eastAsia" w:hAnsi="宋体"/>
        </w:rPr>
        <w:t>运行数据应支持3</w:t>
      </w:r>
      <w:r>
        <w:rPr>
          <w:rFonts w:hAnsi="宋体"/>
        </w:rPr>
        <w:t>年的</w:t>
      </w:r>
      <w:r>
        <w:rPr>
          <w:rFonts w:hint="eastAsia" w:hAnsi="宋体"/>
        </w:rPr>
        <w:t>本地</w:t>
      </w:r>
      <w:r>
        <w:rPr>
          <w:rFonts w:hAnsi="宋体"/>
        </w:rPr>
        <w:t>存储，支持数据整体备份。</w:t>
      </w:r>
      <w:r>
        <w:rPr>
          <w:rFonts w:hint="eastAsia" w:hAnsi="宋体"/>
        </w:rPr>
        <w:t>充分考虑系统当前和将来可能承受的业务数据量，使系统的处理能力和响应时间能够满足业务和生产操作需求。具有历史的作业数据归档和转存功能，并支持历史数据查询，以保持系统长时间的运行效率。</w:t>
      </w:r>
    </w:p>
    <w:p w14:paraId="1A02965E">
      <w:pPr>
        <w:pStyle w:val="165"/>
        <w:ind w:left="0"/>
        <w:rPr>
          <w:rFonts w:hAnsi="宋体"/>
        </w:rPr>
      </w:pPr>
      <w:r>
        <w:rPr>
          <w:rFonts w:hint="eastAsia"/>
        </w:rPr>
        <w:t>车队智能调度管理系统</w:t>
      </w:r>
      <w:r>
        <w:rPr>
          <w:rFonts w:hint="eastAsia" w:hAnsi="宋体"/>
        </w:rPr>
        <w:t>能够根据</w:t>
      </w:r>
      <w:r>
        <w:rPr>
          <w:rFonts w:hint="eastAsia" w:hAnsi="宋体"/>
          <w:lang w:eastAsia="zh-CN"/>
        </w:rPr>
        <w:t>与岸桥、</w:t>
      </w:r>
      <w:r>
        <w:rPr>
          <w:rFonts w:hint="eastAsia" w:hAnsi="宋体"/>
        </w:rPr>
        <w:t>堆场交互作业任务，评估作业效率及车队运行的性能，指导作业任务的车辆安排，总作业时间的优化等。</w:t>
      </w:r>
    </w:p>
    <w:p w14:paraId="713D17D5">
      <w:pPr>
        <w:pStyle w:val="165"/>
        <w:ind w:left="0"/>
      </w:pPr>
      <w:r>
        <w:rPr>
          <w:rFonts w:hint="eastAsia"/>
        </w:rPr>
        <w:t>车队智能调度管理系统应</w:t>
      </w:r>
      <w:r>
        <w:rPr>
          <w:rFonts w:hint="eastAsia" w:hAnsi="宋体"/>
        </w:rPr>
        <w:t>能够针对指定车辆、任务通过数据回放和分析排查危险区域、瓶颈区域，指导港口设施规划。</w:t>
      </w:r>
    </w:p>
    <w:p w14:paraId="1D563660">
      <w:pPr>
        <w:pStyle w:val="165"/>
        <w:ind w:left="0"/>
        <w:rPr>
          <w:rFonts w:hAnsi="宋体"/>
        </w:rPr>
      </w:pPr>
      <w:r>
        <w:rPr>
          <w:rFonts w:hint="eastAsia" w:hAnsi="宋体"/>
        </w:rPr>
        <w:t>运行数据统计分析应能够基于人工智能方法，使用深度学习、强化学习技术，通过对大数据智能分析持续支持业务运营优化改进。</w:t>
      </w:r>
    </w:p>
    <w:p w14:paraId="327417C5">
      <w:pPr>
        <w:pStyle w:val="165"/>
        <w:numPr>
          <w:numId w:val="0"/>
        </w:numPr>
        <w:ind w:leftChars="0"/>
        <w:rPr>
          <w:rFonts w:hint="eastAsia" w:hAnsi="宋体"/>
        </w:rPr>
      </w:pPr>
    </w:p>
    <w:p w14:paraId="157A742D">
      <w:pPr>
        <w:pStyle w:val="165"/>
        <w:numPr>
          <w:numId w:val="0"/>
        </w:numPr>
        <w:ind w:leftChars="0"/>
        <w:rPr>
          <w:rFonts w:hint="eastAsia" w:hAnsi="宋体"/>
        </w:rPr>
      </w:pPr>
    </w:p>
    <w:bookmarkEnd w:id="24"/>
    <w:p w14:paraId="4EA4884D">
      <w:pPr>
        <w:pStyle w:val="165"/>
        <w:numPr>
          <w:ilvl w:val="0"/>
          <w:numId w:val="0"/>
        </w:numPr>
        <w:jc w:val="center"/>
      </w:pPr>
      <w:bookmarkStart w:id="71" w:name="BookMark8"/>
      <w:r>
        <w:rPr>
          <w:rFonts w:hint="default" w:ascii="Calibri" w:hAnsi="Calibri" w:eastAsia="宋体" w:cs="Times New Roman"/>
          <w:color w:val="auto"/>
          <w:kern w:val="2"/>
          <w:sz w:val="21"/>
          <w:szCs w:val="21"/>
          <w:lang w:val="en-US" w:eastAsia="zh-CN" w:bidi="ar"/>
        </w:rPr>
        <w:drawing>
          <wp:inline distT="0" distB="0" distL="114300" distR="11430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8"/>
                    <a:stretch>
                      <a:fillRect/>
                    </a:stretch>
                  </pic:blipFill>
                  <pic:spPr>
                    <a:xfrm>
                      <a:off x="0" y="0"/>
                      <a:ext cx="1485900" cy="317500"/>
                    </a:xfrm>
                    <a:prstGeom prst="rect">
                      <a:avLst/>
                    </a:prstGeom>
                    <a:noFill/>
                    <a:ln>
                      <a:noFill/>
                    </a:ln>
                  </pic:spPr>
                </pic:pic>
              </a:graphicData>
            </a:graphic>
          </wp:inline>
        </w:drawing>
      </w:r>
      <w:bookmarkEnd w:id="71"/>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CBE4E3">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E39AE9">
    <w:pPr>
      <w:pStyle w:val="19"/>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EED77">
    <w:pPr>
      <w:pStyle w:val="19"/>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1C95A0">
    <w:pPr>
      <w:pStyle w:val="55"/>
    </w:pPr>
    <w:r>
      <w:fldChar w:fldCharType="begin"/>
    </w:r>
    <w:r>
      <w:instrText xml:space="preserve">PAGE   \* MERGEFORMAT</w:instrText>
    </w:r>
    <w:r>
      <w:fldChar w:fldCharType="separate"/>
    </w:r>
    <w:r>
      <w:rPr>
        <w:lang w:val="zh-CN"/>
      </w:rPr>
      <w:t>3</w:t>
    </w:r>
    <w:r>
      <w:fldChar w:fldCharType="end"/>
    </w:r>
  </w:p>
  <w:p w14:paraId="2B1AA3F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001D45">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ED286">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E3C5A5">
    <w:pPr>
      <w:pStyle w:val="20"/>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634D86">
    <w:pPr>
      <w:pStyle w:val="64"/>
    </w:pPr>
    <w:r>
      <w:fldChar w:fldCharType="begin"/>
    </w:r>
    <w:r>
      <w:instrText xml:space="preserve"> STYLEREF  标准文件_文件编号  \* MERGEFORMAT </w:instrText>
    </w:r>
    <w:r>
      <w:fldChar w:fldCharType="separate"/>
    </w:r>
    <w:r>
      <w:t>T/CPHAXXXX—XXXX</w:t>
    </w:r>
    <w:r>
      <w:fldChar w:fldCharType="end"/>
    </w:r>
  </w:p>
  <w:p w14:paraId="6B84F6C6"/>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A8CACD">
    <w:pPr>
      <w:pStyle w:val="20"/>
      <w:jc w:val="right"/>
    </w:pPr>
    <w:r>
      <w:fldChar w:fldCharType="begin"/>
    </w:r>
    <w:r>
      <w:instrText xml:space="preserve"> STYLEREF  标准文件_文件编号  \* MERGEFORMAT </w:instrText>
    </w:r>
    <w:r>
      <w:fldChar w:fldCharType="separate"/>
    </w:r>
    <w:r>
      <w:t>T/CPHAXXXX—XXXX</w:t>
    </w:r>
    <w:r>
      <w:fldChar w:fldCharType="end"/>
    </w:r>
  </w:p>
  <w:p w14:paraId="0091111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80EFD9E"/>
    <w:multiLevelType w:val="multilevel"/>
    <w:tmpl w:val="080EFD9E"/>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tabs>
          <w:tab w:val="left" w:pos="0"/>
        </w:tabs>
        <w:ind w:left="0" w:firstLine="0"/>
      </w:pPr>
      <w:rPr>
        <w:rFonts w:hint="default" w:ascii="黑体" w:hAnsi="Times New Roman" w:eastAsia="黑体"/>
        <w:b w:val="0"/>
        <w:bCs/>
        <w:i w:val="0"/>
        <w:sz w:val="21"/>
      </w:rPr>
    </w:lvl>
    <w:lvl w:ilvl="2" w:tentative="0">
      <w:start w:val="1"/>
      <w:numFmt w:val="decimal"/>
      <w:pStyle w:val="234"/>
      <w:suff w:val="nothing"/>
      <w:lvlText w:val="%1%2.%3　"/>
      <w:lvlJc w:val="left"/>
      <w:pPr>
        <w:tabs>
          <w:tab w:val="left" w:pos="709"/>
        </w:tabs>
        <w:ind w:left="709" w:firstLine="0"/>
      </w:pPr>
      <w:rPr>
        <w:rFonts w:hint="default" w:ascii="黑体" w:hAnsi="Times New Roman" w:eastAsia="黑体"/>
        <w:b w:val="0"/>
        <w:bCs/>
        <w:i w:val="0"/>
        <w:sz w:val="21"/>
      </w:rPr>
    </w:lvl>
    <w:lvl w:ilvl="3" w:tentative="0">
      <w:start w:val="1"/>
      <w:numFmt w:val="decimal"/>
      <w:pStyle w:val="233"/>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2552" w:firstLine="0"/>
      </w:pPr>
      <w:rPr>
        <w:rFonts w:hint="eastAsia" w:ascii="黑体" w:hAnsi="Times New Roman" w:eastAsia="黑体"/>
        <w:b w:val="0"/>
        <w:i w:val="0"/>
        <w:sz w:val="21"/>
      </w:rPr>
    </w:lvl>
    <w:lvl w:ilvl="5" w:tentative="0">
      <w:start w:val="1"/>
      <w:numFmt w:val="decimal"/>
      <w:suff w:val="nothing"/>
      <w:lvlText w:val="%1%2.%3.%4.%5.%6　"/>
      <w:lvlJc w:val="left"/>
      <w:pPr>
        <w:ind w:left="567" w:firstLine="0"/>
      </w:pPr>
      <w:rPr>
        <w:rFonts w:hint="eastAsia" w:ascii="黑体" w:hAnsi="Times New Roman" w:eastAsia="黑体"/>
        <w:b w:val="0"/>
        <w:i w:val="0"/>
        <w:sz w:val="21"/>
        <w:lang w:val="en-US"/>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5">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3">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4">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6">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0" w:firstLine="0"/>
      </w:pPr>
      <w:rPr>
        <w:rFonts w:hint="eastAsia" w:ascii="黑体" w:eastAsia="黑体"/>
        <w:b w:val="0"/>
        <w:i w:val="0"/>
        <w:sz w:val="21"/>
      </w:rPr>
    </w:lvl>
    <w:lvl w:ilvl="2" w:tentative="0">
      <w:start w:val="1"/>
      <w:numFmt w:val="decimal"/>
      <w:pStyle w:val="108"/>
      <w:suff w:val="nothing"/>
      <w:lvlText w:val="%1%2.%3　"/>
      <w:lvlJc w:val="left"/>
      <w:pPr>
        <w:ind w:left="1418"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1">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8"/>
  </w:num>
  <w:num w:numId="3">
    <w:abstractNumId w:val="6"/>
  </w:num>
  <w:num w:numId="4">
    <w:abstractNumId w:val="24"/>
  </w:num>
  <w:num w:numId="5">
    <w:abstractNumId w:val="19"/>
  </w:num>
  <w:num w:numId="6">
    <w:abstractNumId w:val="14"/>
  </w:num>
  <w:num w:numId="7">
    <w:abstractNumId w:val="9"/>
  </w:num>
  <w:num w:numId="8">
    <w:abstractNumId w:val="3"/>
  </w:num>
  <w:num w:numId="9">
    <w:abstractNumId w:val="10"/>
  </w:num>
  <w:num w:numId="10">
    <w:abstractNumId w:val="17"/>
  </w:num>
  <w:num w:numId="11">
    <w:abstractNumId w:val="26"/>
  </w:num>
  <w:num w:numId="12">
    <w:abstractNumId w:val="12"/>
  </w:num>
  <w:num w:numId="13">
    <w:abstractNumId w:val="13"/>
  </w:num>
  <w:num w:numId="14">
    <w:abstractNumId w:val="8"/>
  </w:num>
  <w:num w:numId="15">
    <w:abstractNumId w:val="20"/>
  </w:num>
  <w:num w:numId="16">
    <w:abstractNumId w:val="22"/>
  </w:num>
  <w:num w:numId="17">
    <w:abstractNumId w:val="18"/>
  </w:num>
  <w:num w:numId="18">
    <w:abstractNumId w:val="30"/>
  </w:num>
  <w:num w:numId="19">
    <w:abstractNumId w:val="16"/>
  </w:num>
  <w:num w:numId="20">
    <w:abstractNumId w:val="1"/>
  </w:num>
  <w:num w:numId="21">
    <w:abstractNumId w:val="11"/>
  </w:num>
  <w:num w:numId="22">
    <w:abstractNumId w:val="31"/>
  </w:num>
  <w:num w:numId="23">
    <w:abstractNumId w:val="21"/>
  </w:num>
  <w:num w:numId="24">
    <w:abstractNumId w:val="7"/>
  </w:num>
  <w:num w:numId="25">
    <w:abstractNumId w:val="27"/>
  </w:num>
  <w:num w:numId="26">
    <w:abstractNumId w:val="29"/>
  </w:num>
  <w:num w:numId="27">
    <w:abstractNumId w:val="2"/>
  </w:num>
  <w:num w:numId="28">
    <w:abstractNumId w:val="5"/>
  </w:num>
  <w:num w:numId="29">
    <w:abstractNumId w:val="15"/>
  </w:num>
  <w:num w:numId="30">
    <w:abstractNumId w:val="25"/>
  </w:num>
  <w:num w:numId="31">
    <w:abstractNumId w:val="23"/>
  </w:num>
  <w:num w:numId="32">
    <w:abstractNumId w:val="4"/>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doNotDisplayPageBoundaries w:val="1"/>
  <w:bordersDoNotSurroundHeader w:val="1"/>
  <w:bordersDoNotSurroundFooter w:val="1"/>
  <w:attachedTemplate r:id="rId1"/>
  <w:trackRevisions w:val="1"/>
  <w:documentProtection w:edit="forms"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gzMjE3ZDY0YTkwMzk2NzAzYzI4YjAwNTE5ZjYzMzgifQ=="/>
  </w:docVars>
  <w:rsids>
    <w:rsidRoot w:val="008A45BF"/>
    <w:rsid w:val="0000040A"/>
    <w:rsid w:val="00000A94"/>
    <w:rsid w:val="00001972"/>
    <w:rsid w:val="00001D9A"/>
    <w:rsid w:val="0000468C"/>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3CE"/>
    <w:rsid w:val="0006357D"/>
    <w:rsid w:val="00067F1E"/>
    <w:rsid w:val="00071CC0"/>
    <w:rsid w:val="00071CFC"/>
    <w:rsid w:val="00073C8C"/>
    <w:rsid w:val="00077B64"/>
    <w:rsid w:val="00080A1C"/>
    <w:rsid w:val="000819EA"/>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0A42"/>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B8B"/>
    <w:rsid w:val="000E4C9E"/>
    <w:rsid w:val="000E6FD7"/>
    <w:rsid w:val="000E7144"/>
    <w:rsid w:val="000F06E1"/>
    <w:rsid w:val="000F0E3C"/>
    <w:rsid w:val="000F19D5"/>
    <w:rsid w:val="000F4050"/>
    <w:rsid w:val="000F489F"/>
    <w:rsid w:val="000F4AEA"/>
    <w:rsid w:val="000F67E9"/>
    <w:rsid w:val="00104926"/>
    <w:rsid w:val="00112544"/>
    <w:rsid w:val="00113B1E"/>
    <w:rsid w:val="0011711C"/>
    <w:rsid w:val="001230E9"/>
    <w:rsid w:val="00124E4F"/>
    <w:rsid w:val="001260B7"/>
    <w:rsid w:val="001265CB"/>
    <w:rsid w:val="001321C6"/>
    <w:rsid w:val="001325C4"/>
    <w:rsid w:val="00133010"/>
    <w:rsid w:val="001338EE"/>
    <w:rsid w:val="00133AAE"/>
    <w:rsid w:val="00135323"/>
    <w:rsid w:val="001356C4"/>
    <w:rsid w:val="00137565"/>
    <w:rsid w:val="00141114"/>
    <w:rsid w:val="00142969"/>
    <w:rsid w:val="00143FAF"/>
    <w:rsid w:val="001446C2"/>
    <w:rsid w:val="001457E7"/>
    <w:rsid w:val="00145D9D"/>
    <w:rsid w:val="00146388"/>
    <w:rsid w:val="001529E5"/>
    <w:rsid w:val="00152FB3"/>
    <w:rsid w:val="001538A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778FF"/>
    <w:rsid w:val="001852C9"/>
    <w:rsid w:val="00187A0B"/>
    <w:rsid w:val="00190087"/>
    <w:rsid w:val="001913C4"/>
    <w:rsid w:val="0019348F"/>
    <w:rsid w:val="00193A07"/>
    <w:rsid w:val="00194C95"/>
    <w:rsid w:val="00195B06"/>
    <w:rsid w:val="00195C34"/>
    <w:rsid w:val="00196EF5"/>
    <w:rsid w:val="001A1A53"/>
    <w:rsid w:val="001A234A"/>
    <w:rsid w:val="001A2AB2"/>
    <w:rsid w:val="001A4CF3"/>
    <w:rsid w:val="001A6696"/>
    <w:rsid w:val="001B06E8"/>
    <w:rsid w:val="001B4A27"/>
    <w:rsid w:val="001B71D0"/>
    <w:rsid w:val="001B71EE"/>
    <w:rsid w:val="001B7CA1"/>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382"/>
    <w:rsid w:val="001F092D"/>
    <w:rsid w:val="001F143A"/>
    <w:rsid w:val="001F1605"/>
    <w:rsid w:val="001F2508"/>
    <w:rsid w:val="001F4816"/>
    <w:rsid w:val="001F69B4"/>
    <w:rsid w:val="001F77C7"/>
    <w:rsid w:val="00200183"/>
    <w:rsid w:val="00200333"/>
    <w:rsid w:val="0020107D"/>
    <w:rsid w:val="002018AA"/>
    <w:rsid w:val="002026C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0721"/>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196"/>
    <w:rsid w:val="00281BB8"/>
    <w:rsid w:val="00281E9E"/>
    <w:rsid w:val="00282405"/>
    <w:rsid w:val="00285170"/>
    <w:rsid w:val="00285361"/>
    <w:rsid w:val="00292D60"/>
    <w:rsid w:val="00293B30"/>
    <w:rsid w:val="00294D34"/>
    <w:rsid w:val="00294E3B"/>
    <w:rsid w:val="00296193"/>
    <w:rsid w:val="00296C66"/>
    <w:rsid w:val="00296EBE"/>
    <w:rsid w:val="002974E3"/>
    <w:rsid w:val="002979EB"/>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66B"/>
    <w:rsid w:val="002D4F1A"/>
    <w:rsid w:val="002D6EC6"/>
    <w:rsid w:val="002D79AC"/>
    <w:rsid w:val="002E039D"/>
    <w:rsid w:val="002E290C"/>
    <w:rsid w:val="002E4D5A"/>
    <w:rsid w:val="002E6326"/>
    <w:rsid w:val="002F30E0"/>
    <w:rsid w:val="002F35E4"/>
    <w:rsid w:val="002F3730"/>
    <w:rsid w:val="002F38E1"/>
    <w:rsid w:val="002F7AF6"/>
    <w:rsid w:val="0030023B"/>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741D"/>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66F4"/>
    <w:rsid w:val="003974EB"/>
    <w:rsid w:val="00397CC5"/>
    <w:rsid w:val="003A11D1"/>
    <w:rsid w:val="003A1582"/>
    <w:rsid w:val="003A237A"/>
    <w:rsid w:val="003A3D9C"/>
    <w:rsid w:val="003A4077"/>
    <w:rsid w:val="003A4AA7"/>
    <w:rsid w:val="003A7E95"/>
    <w:rsid w:val="003B09AD"/>
    <w:rsid w:val="003B1F18"/>
    <w:rsid w:val="003B5BF0"/>
    <w:rsid w:val="003B60BF"/>
    <w:rsid w:val="003B6B56"/>
    <w:rsid w:val="003B6BE3"/>
    <w:rsid w:val="003C010C"/>
    <w:rsid w:val="003C0A6C"/>
    <w:rsid w:val="003C0BAB"/>
    <w:rsid w:val="003C14F8"/>
    <w:rsid w:val="003C5A43"/>
    <w:rsid w:val="003D0519"/>
    <w:rsid w:val="003D0FF6"/>
    <w:rsid w:val="003D262C"/>
    <w:rsid w:val="003D6D61"/>
    <w:rsid w:val="003E019F"/>
    <w:rsid w:val="003E091D"/>
    <w:rsid w:val="003E09F4"/>
    <w:rsid w:val="003E1C53"/>
    <w:rsid w:val="003E2A69"/>
    <w:rsid w:val="003E2D49"/>
    <w:rsid w:val="003E2FD4"/>
    <w:rsid w:val="003E49F6"/>
    <w:rsid w:val="003E660F"/>
    <w:rsid w:val="003F0841"/>
    <w:rsid w:val="003F23D3"/>
    <w:rsid w:val="003F3F08"/>
    <w:rsid w:val="003F49F1"/>
    <w:rsid w:val="003F6272"/>
    <w:rsid w:val="003F73E7"/>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1C7F"/>
    <w:rsid w:val="00463B77"/>
    <w:rsid w:val="00463C7B"/>
    <w:rsid w:val="004644A6"/>
    <w:rsid w:val="00464C84"/>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645E"/>
    <w:rsid w:val="004A12DF"/>
    <w:rsid w:val="004A1BA8"/>
    <w:rsid w:val="004A4B57"/>
    <w:rsid w:val="004A63FA"/>
    <w:rsid w:val="004A6A3D"/>
    <w:rsid w:val="004B0272"/>
    <w:rsid w:val="004B2701"/>
    <w:rsid w:val="004B2E1B"/>
    <w:rsid w:val="004B3AA8"/>
    <w:rsid w:val="004B3E93"/>
    <w:rsid w:val="004B7EDC"/>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4187"/>
    <w:rsid w:val="004F6456"/>
    <w:rsid w:val="004F696E"/>
    <w:rsid w:val="004F6C71"/>
    <w:rsid w:val="00501139"/>
    <w:rsid w:val="0050363E"/>
    <w:rsid w:val="005039BC"/>
    <w:rsid w:val="005043BB"/>
    <w:rsid w:val="00504A3D"/>
    <w:rsid w:val="00505767"/>
    <w:rsid w:val="005067B0"/>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19F"/>
    <w:rsid w:val="00562308"/>
    <w:rsid w:val="0056487B"/>
    <w:rsid w:val="00564FB9"/>
    <w:rsid w:val="00573D9E"/>
    <w:rsid w:val="00577F36"/>
    <w:rsid w:val="005801E3"/>
    <w:rsid w:val="00581802"/>
    <w:rsid w:val="005836A8"/>
    <w:rsid w:val="0058409C"/>
    <w:rsid w:val="00584262"/>
    <w:rsid w:val="00586630"/>
    <w:rsid w:val="00587ADD"/>
    <w:rsid w:val="00593A49"/>
    <w:rsid w:val="00596160"/>
    <w:rsid w:val="005966E2"/>
    <w:rsid w:val="00597007"/>
    <w:rsid w:val="005A01EC"/>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4764"/>
    <w:rsid w:val="005C5F21"/>
    <w:rsid w:val="005C7156"/>
    <w:rsid w:val="005C74C0"/>
    <w:rsid w:val="005D0C75"/>
    <w:rsid w:val="005D4171"/>
    <w:rsid w:val="005D6A95"/>
    <w:rsid w:val="005D6B2C"/>
    <w:rsid w:val="005D6D9C"/>
    <w:rsid w:val="005D7566"/>
    <w:rsid w:val="005D7A9A"/>
    <w:rsid w:val="005E2335"/>
    <w:rsid w:val="005E34CA"/>
    <w:rsid w:val="005E3C18"/>
    <w:rsid w:val="005E4250"/>
    <w:rsid w:val="005E458A"/>
    <w:rsid w:val="005E6812"/>
    <w:rsid w:val="005E7881"/>
    <w:rsid w:val="005E78E0"/>
    <w:rsid w:val="005F0D9C"/>
    <w:rsid w:val="005F284E"/>
    <w:rsid w:val="0060117C"/>
    <w:rsid w:val="006015CE"/>
    <w:rsid w:val="00604784"/>
    <w:rsid w:val="00606419"/>
    <w:rsid w:val="00607D29"/>
    <w:rsid w:val="00612952"/>
    <w:rsid w:val="00614CC1"/>
    <w:rsid w:val="0061566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07C"/>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87BE9"/>
    <w:rsid w:val="00691E95"/>
    <w:rsid w:val="006932AE"/>
    <w:rsid w:val="006A07AA"/>
    <w:rsid w:val="006A0968"/>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E46"/>
    <w:rsid w:val="006D16C4"/>
    <w:rsid w:val="006D3E96"/>
    <w:rsid w:val="006D4515"/>
    <w:rsid w:val="006D4BB1"/>
    <w:rsid w:val="006D6593"/>
    <w:rsid w:val="006F03A8"/>
    <w:rsid w:val="006F2ACA"/>
    <w:rsid w:val="006F2ADC"/>
    <w:rsid w:val="006F2BFE"/>
    <w:rsid w:val="006F31E9"/>
    <w:rsid w:val="006F6284"/>
    <w:rsid w:val="006F766B"/>
    <w:rsid w:val="006F76DF"/>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86331"/>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C64B7"/>
    <w:rsid w:val="007D06C4"/>
    <w:rsid w:val="007D0BE2"/>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3E2E"/>
    <w:rsid w:val="00815419"/>
    <w:rsid w:val="00815597"/>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42EE"/>
    <w:rsid w:val="008454F8"/>
    <w:rsid w:val="0085173A"/>
    <w:rsid w:val="008550EC"/>
    <w:rsid w:val="00855DBA"/>
    <w:rsid w:val="008603CE"/>
    <w:rsid w:val="008620FC"/>
    <w:rsid w:val="008627A5"/>
    <w:rsid w:val="00863E05"/>
    <w:rsid w:val="00865ACA"/>
    <w:rsid w:val="00865D28"/>
    <w:rsid w:val="00865F85"/>
    <w:rsid w:val="00867C10"/>
    <w:rsid w:val="00867DE3"/>
    <w:rsid w:val="00870439"/>
    <w:rsid w:val="00870DA1"/>
    <w:rsid w:val="00883F93"/>
    <w:rsid w:val="00884DB3"/>
    <w:rsid w:val="00885A9D"/>
    <w:rsid w:val="00885A9F"/>
    <w:rsid w:val="008864F6"/>
    <w:rsid w:val="0089049D"/>
    <w:rsid w:val="008928C9"/>
    <w:rsid w:val="008930CB"/>
    <w:rsid w:val="008938DC"/>
    <w:rsid w:val="00893FD1"/>
    <w:rsid w:val="00894836"/>
    <w:rsid w:val="00895172"/>
    <w:rsid w:val="00895680"/>
    <w:rsid w:val="00896DFF"/>
    <w:rsid w:val="0089762C"/>
    <w:rsid w:val="008A173B"/>
    <w:rsid w:val="008A1893"/>
    <w:rsid w:val="008A45BF"/>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538"/>
    <w:rsid w:val="008E4BB6"/>
    <w:rsid w:val="008E5518"/>
    <w:rsid w:val="008E6A84"/>
    <w:rsid w:val="008F0CDC"/>
    <w:rsid w:val="008F17A3"/>
    <w:rsid w:val="008F1EA1"/>
    <w:rsid w:val="008F1ED3"/>
    <w:rsid w:val="008F4C29"/>
    <w:rsid w:val="008F4EAA"/>
    <w:rsid w:val="008F70BD"/>
    <w:rsid w:val="008F788F"/>
    <w:rsid w:val="008F7EA2"/>
    <w:rsid w:val="00902722"/>
    <w:rsid w:val="009027BC"/>
    <w:rsid w:val="009062E6"/>
    <w:rsid w:val="00911BE5"/>
    <w:rsid w:val="00912392"/>
    <w:rsid w:val="00913CA9"/>
    <w:rsid w:val="009145AE"/>
    <w:rsid w:val="009146CE"/>
    <w:rsid w:val="00914CA7"/>
    <w:rsid w:val="00915C3E"/>
    <w:rsid w:val="009161A8"/>
    <w:rsid w:val="009245AE"/>
    <w:rsid w:val="009245F5"/>
    <w:rsid w:val="009249EC"/>
    <w:rsid w:val="009273B3"/>
    <w:rsid w:val="009305B5"/>
    <w:rsid w:val="009309F9"/>
    <w:rsid w:val="00934893"/>
    <w:rsid w:val="009376A0"/>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3C90"/>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B77AC"/>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918"/>
    <w:rsid w:val="00A2271D"/>
    <w:rsid w:val="00A237D5"/>
    <w:rsid w:val="00A30EFC"/>
    <w:rsid w:val="00A31984"/>
    <w:rsid w:val="00A32D73"/>
    <w:rsid w:val="00A3367B"/>
    <w:rsid w:val="00A33C67"/>
    <w:rsid w:val="00A3597D"/>
    <w:rsid w:val="00A35A7A"/>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FD8"/>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9F0"/>
    <w:rsid w:val="00AB6309"/>
    <w:rsid w:val="00AB6C5F"/>
    <w:rsid w:val="00AB7129"/>
    <w:rsid w:val="00AC0C20"/>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198F"/>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11D"/>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633D"/>
    <w:rsid w:val="00BA7B6F"/>
    <w:rsid w:val="00BA7C9A"/>
    <w:rsid w:val="00BB5F8F"/>
    <w:rsid w:val="00BB657A"/>
    <w:rsid w:val="00BC1A4E"/>
    <w:rsid w:val="00BC5DC7"/>
    <w:rsid w:val="00BC6B8B"/>
    <w:rsid w:val="00BC73D8"/>
    <w:rsid w:val="00BD52D7"/>
    <w:rsid w:val="00BD5AD2"/>
    <w:rsid w:val="00BE22F3"/>
    <w:rsid w:val="00BE4AF7"/>
    <w:rsid w:val="00BE5B52"/>
    <w:rsid w:val="00BE7B8D"/>
    <w:rsid w:val="00BF0993"/>
    <w:rsid w:val="00BF10A9"/>
    <w:rsid w:val="00BF1703"/>
    <w:rsid w:val="00BF231C"/>
    <w:rsid w:val="00BF51E5"/>
    <w:rsid w:val="00BF74A6"/>
    <w:rsid w:val="00C013AD"/>
    <w:rsid w:val="00C04904"/>
    <w:rsid w:val="00C056B3"/>
    <w:rsid w:val="00C103E5"/>
    <w:rsid w:val="00C13319"/>
    <w:rsid w:val="00C13768"/>
    <w:rsid w:val="00C13EE9"/>
    <w:rsid w:val="00C21540"/>
    <w:rsid w:val="00C21906"/>
    <w:rsid w:val="00C21BFA"/>
    <w:rsid w:val="00C24C8D"/>
    <w:rsid w:val="00C25FE2"/>
    <w:rsid w:val="00C26B53"/>
    <w:rsid w:val="00C279B2"/>
    <w:rsid w:val="00C33E50"/>
    <w:rsid w:val="00C340D1"/>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42A"/>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41D5"/>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0694"/>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0801"/>
    <w:rsid w:val="00DC3067"/>
    <w:rsid w:val="00DC370B"/>
    <w:rsid w:val="00DC5B90"/>
    <w:rsid w:val="00DD00FF"/>
    <w:rsid w:val="00DD0619"/>
    <w:rsid w:val="00DD07FB"/>
    <w:rsid w:val="00DD25C6"/>
    <w:rsid w:val="00DD2BB1"/>
    <w:rsid w:val="00DD316B"/>
    <w:rsid w:val="00DD4FE5"/>
    <w:rsid w:val="00DD54B0"/>
    <w:rsid w:val="00DD57EE"/>
    <w:rsid w:val="00DD6BCC"/>
    <w:rsid w:val="00DE0A4B"/>
    <w:rsid w:val="00DE2410"/>
    <w:rsid w:val="00DE2939"/>
    <w:rsid w:val="00DE6E81"/>
    <w:rsid w:val="00DE703F"/>
    <w:rsid w:val="00DE7595"/>
    <w:rsid w:val="00DF1961"/>
    <w:rsid w:val="00DF44DE"/>
    <w:rsid w:val="00DF5F6E"/>
    <w:rsid w:val="00E01138"/>
    <w:rsid w:val="00E02DFB"/>
    <w:rsid w:val="00E030F9"/>
    <w:rsid w:val="00E0311A"/>
    <w:rsid w:val="00E03138"/>
    <w:rsid w:val="00E06404"/>
    <w:rsid w:val="00E11A85"/>
    <w:rsid w:val="00E12495"/>
    <w:rsid w:val="00E15CCD"/>
    <w:rsid w:val="00E202EF"/>
    <w:rsid w:val="00E210B5"/>
    <w:rsid w:val="00E2552F"/>
    <w:rsid w:val="00E25C21"/>
    <w:rsid w:val="00E3137A"/>
    <w:rsid w:val="00E32CCF"/>
    <w:rsid w:val="00E34A98"/>
    <w:rsid w:val="00E35D1E"/>
    <w:rsid w:val="00E364F9"/>
    <w:rsid w:val="00E365FA"/>
    <w:rsid w:val="00E36789"/>
    <w:rsid w:val="00E44A83"/>
    <w:rsid w:val="00E502C1"/>
    <w:rsid w:val="00E502DD"/>
    <w:rsid w:val="00E50D3A"/>
    <w:rsid w:val="00E51387"/>
    <w:rsid w:val="00E51E68"/>
    <w:rsid w:val="00E52E95"/>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41DB"/>
    <w:rsid w:val="00EF5E3D"/>
    <w:rsid w:val="00EF7E72"/>
    <w:rsid w:val="00F06D37"/>
    <w:rsid w:val="00F07B9D"/>
    <w:rsid w:val="00F10746"/>
    <w:rsid w:val="00F11586"/>
    <w:rsid w:val="00F1183B"/>
    <w:rsid w:val="00F11C9F"/>
    <w:rsid w:val="00F12263"/>
    <w:rsid w:val="00F1409D"/>
    <w:rsid w:val="00F14214"/>
    <w:rsid w:val="00F157A9"/>
    <w:rsid w:val="00F16F00"/>
    <w:rsid w:val="00F22600"/>
    <w:rsid w:val="00F238DA"/>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D913FF"/>
    <w:rsid w:val="022950E4"/>
    <w:rsid w:val="02447828"/>
    <w:rsid w:val="02A97FD3"/>
    <w:rsid w:val="03A762C0"/>
    <w:rsid w:val="041F54FB"/>
    <w:rsid w:val="046D5CD0"/>
    <w:rsid w:val="048A564F"/>
    <w:rsid w:val="05384DBF"/>
    <w:rsid w:val="059C3031"/>
    <w:rsid w:val="05A76A4C"/>
    <w:rsid w:val="05EA2DDC"/>
    <w:rsid w:val="07EC2E2E"/>
    <w:rsid w:val="080A78AC"/>
    <w:rsid w:val="08624F66"/>
    <w:rsid w:val="086329D2"/>
    <w:rsid w:val="098A234E"/>
    <w:rsid w:val="0A73514E"/>
    <w:rsid w:val="0B4153D8"/>
    <w:rsid w:val="0CD55B29"/>
    <w:rsid w:val="0D181FDD"/>
    <w:rsid w:val="0E2449B2"/>
    <w:rsid w:val="0E39045D"/>
    <w:rsid w:val="0F0E428C"/>
    <w:rsid w:val="0F525168"/>
    <w:rsid w:val="0FFE195E"/>
    <w:rsid w:val="10615A51"/>
    <w:rsid w:val="118D12D6"/>
    <w:rsid w:val="11E06D23"/>
    <w:rsid w:val="12BA6A95"/>
    <w:rsid w:val="12BC7B28"/>
    <w:rsid w:val="13337B71"/>
    <w:rsid w:val="155D7ED6"/>
    <w:rsid w:val="165A5414"/>
    <w:rsid w:val="17251F3E"/>
    <w:rsid w:val="181A12FF"/>
    <w:rsid w:val="184B770B"/>
    <w:rsid w:val="1870228B"/>
    <w:rsid w:val="18AB2211"/>
    <w:rsid w:val="18C15C1F"/>
    <w:rsid w:val="18F5508E"/>
    <w:rsid w:val="190F0738"/>
    <w:rsid w:val="19ED4168"/>
    <w:rsid w:val="1A762CF0"/>
    <w:rsid w:val="1B0E4A1F"/>
    <w:rsid w:val="1B79633D"/>
    <w:rsid w:val="1BE422D1"/>
    <w:rsid w:val="1C0C13B4"/>
    <w:rsid w:val="1C4C493F"/>
    <w:rsid w:val="1CD86382"/>
    <w:rsid w:val="1D954F84"/>
    <w:rsid w:val="1EAD566E"/>
    <w:rsid w:val="1F4924CA"/>
    <w:rsid w:val="1F625B7A"/>
    <w:rsid w:val="1FBD62F9"/>
    <w:rsid w:val="20124BC3"/>
    <w:rsid w:val="20B65C9E"/>
    <w:rsid w:val="21770F2E"/>
    <w:rsid w:val="223236E9"/>
    <w:rsid w:val="22603DB2"/>
    <w:rsid w:val="23B77DEF"/>
    <w:rsid w:val="2422425D"/>
    <w:rsid w:val="25C46CDA"/>
    <w:rsid w:val="25FE400E"/>
    <w:rsid w:val="26731577"/>
    <w:rsid w:val="26DC408E"/>
    <w:rsid w:val="270B60DD"/>
    <w:rsid w:val="2839232F"/>
    <w:rsid w:val="284B1061"/>
    <w:rsid w:val="28825BCC"/>
    <w:rsid w:val="2A9C2D86"/>
    <w:rsid w:val="2B8D68C9"/>
    <w:rsid w:val="2BC96E6C"/>
    <w:rsid w:val="2C2A5838"/>
    <w:rsid w:val="2C387D97"/>
    <w:rsid w:val="2C3B3BFC"/>
    <w:rsid w:val="2D1A7254"/>
    <w:rsid w:val="2DC97AD0"/>
    <w:rsid w:val="2DFD21B2"/>
    <w:rsid w:val="2E725599"/>
    <w:rsid w:val="2EC026B3"/>
    <w:rsid w:val="2F0A0ED9"/>
    <w:rsid w:val="2F25260C"/>
    <w:rsid w:val="2FE06542"/>
    <w:rsid w:val="2FEC09B7"/>
    <w:rsid w:val="303E3F98"/>
    <w:rsid w:val="30D047F9"/>
    <w:rsid w:val="3150593A"/>
    <w:rsid w:val="316D3DF6"/>
    <w:rsid w:val="327644AD"/>
    <w:rsid w:val="32B876D8"/>
    <w:rsid w:val="331C5AD4"/>
    <w:rsid w:val="33583D85"/>
    <w:rsid w:val="347016B7"/>
    <w:rsid w:val="351624AE"/>
    <w:rsid w:val="3558300F"/>
    <w:rsid w:val="36A1178A"/>
    <w:rsid w:val="36D67BFE"/>
    <w:rsid w:val="36FB71FF"/>
    <w:rsid w:val="371B60A2"/>
    <w:rsid w:val="372A4537"/>
    <w:rsid w:val="373F7FE3"/>
    <w:rsid w:val="37735EDE"/>
    <w:rsid w:val="37881C4C"/>
    <w:rsid w:val="37EC11DD"/>
    <w:rsid w:val="39E135D3"/>
    <w:rsid w:val="3A5C7CC8"/>
    <w:rsid w:val="3A6612D8"/>
    <w:rsid w:val="3AB56329"/>
    <w:rsid w:val="3BA5270E"/>
    <w:rsid w:val="3C3624ED"/>
    <w:rsid w:val="3D8464FE"/>
    <w:rsid w:val="3DCD2B82"/>
    <w:rsid w:val="3E9A0A99"/>
    <w:rsid w:val="3F0F0BE2"/>
    <w:rsid w:val="3F316DAB"/>
    <w:rsid w:val="3FBB6674"/>
    <w:rsid w:val="40381097"/>
    <w:rsid w:val="4075308B"/>
    <w:rsid w:val="409E7380"/>
    <w:rsid w:val="41E023C2"/>
    <w:rsid w:val="4216476E"/>
    <w:rsid w:val="42966C72"/>
    <w:rsid w:val="42B67AA6"/>
    <w:rsid w:val="42D407AF"/>
    <w:rsid w:val="430322FD"/>
    <w:rsid w:val="434116E1"/>
    <w:rsid w:val="4391606A"/>
    <w:rsid w:val="43AD4526"/>
    <w:rsid w:val="43B808F8"/>
    <w:rsid w:val="44787A15"/>
    <w:rsid w:val="448E07FB"/>
    <w:rsid w:val="44AC7017"/>
    <w:rsid w:val="45BD58B5"/>
    <w:rsid w:val="45D03886"/>
    <w:rsid w:val="45DE4E6B"/>
    <w:rsid w:val="465515D1"/>
    <w:rsid w:val="47653A95"/>
    <w:rsid w:val="478A52AA"/>
    <w:rsid w:val="47F70466"/>
    <w:rsid w:val="48B52FCC"/>
    <w:rsid w:val="48BA3564"/>
    <w:rsid w:val="48C84646"/>
    <w:rsid w:val="49217F3A"/>
    <w:rsid w:val="49315AE0"/>
    <w:rsid w:val="4A4F6337"/>
    <w:rsid w:val="4A68749E"/>
    <w:rsid w:val="4B0235C9"/>
    <w:rsid w:val="4B851D22"/>
    <w:rsid w:val="4B8C3702"/>
    <w:rsid w:val="4B9C37FE"/>
    <w:rsid w:val="4BF02E77"/>
    <w:rsid w:val="4C787DC7"/>
    <w:rsid w:val="4D346F1B"/>
    <w:rsid w:val="4D41707D"/>
    <w:rsid w:val="4DD112A9"/>
    <w:rsid w:val="4E7B76FB"/>
    <w:rsid w:val="4EA40FCB"/>
    <w:rsid w:val="4F195165"/>
    <w:rsid w:val="4F6714C9"/>
    <w:rsid w:val="4FA47125"/>
    <w:rsid w:val="502F72FA"/>
    <w:rsid w:val="50334005"/>
    <w:rsid w:val="50580999"/>
    <w:rsid w:val="5099346F"/>
    <w:rsid w:val="50A62A29"/>
    <w:rsid w:val="517B21F2"/>
    <w:rsid w:val="51AE428B"/>
    <w:rsid w:val="520D1EFB"/>
    <w:rsid w:val="52BC4D48"/>
    <w:rsid w:val="534704F3"/>
    <w:rsid w:val="53832E74"/>
    <w:rsid w:val="545F361A"/>
    <w:rsid w:val="54792A74"/>
    <w:rsid w:val="54F77CF7"/>
    <w:rsid w:val="550C2144"/>
    <w:rsid w:val="55E84BE9"/>
    <w:rsid w:val="57064F75"/>
    <w:rsid w:val="571D74F3"/>
    <w:rsid w:val="57CD0142"/>
    <w:rsid w:val="58067BED"/>
    <w:rsid w:val="580B0E9D"/>
    <w:rsid w:val="5852795A"/>
    <w:rsid w:val="586C27AA"/>
    <w:rsid w:val="5886561A"/>
    <w:rsid w:val="58B959EF"/>
    <w:rsid w:val="58E20196"/>
    <w:rsid w:val="59401C6C"/>
    <w:rsid w:val="598A4DC1"/>
    <w:rsid w:val="5A4D7452"/>
    <w:rsid w:val="5A5A5442"/>
    <w:rsid w:val="5A5F0FE0"/>
    <w:rsid w:val="5A6776CD"/>
    <w:rsid w:val="5AB84AAF"/>
    <w:rsid w:val="5AF57370"/>
    <w:rsid w:val="5BE967E2"/>
    <w:rsid w:val="5BFB086D"/>
    <w:rsid w:val="5C1D03F7"/>
    <w:rsid w:val="5C7A5495"/>
    <w:rsid w:val="5D3C29B7"/>
    <w:rsid w:val="5D5A2E78"/>
    <w:rsid w:val="5DB46785"/>
    <w:rsid w:val="5E14191A"/>
    <w:rsid w:val="5E465293"/>
    <w:rsid w:val="5E6F4DA2"/>
    <w:rsid w:val="5EC24ED2"/>
    <w:rsid w:val="5EDA66BF"/>
    <w:rsid w:val="5EDE46E9"/>
    <w:rsid w:val="5FDC297E"/>
    <w:rsid w:val="5FE9165F"/>
    <w:rsid w:val="61835C74"/>
    <w:rsid w:val="618F680B"/>
    <w:rsid w:val="61C96577"/>
    <w:rsid w:val="62AA7975"/>
    <w:rsid w:val="62C63D9D"/>
    <w:rsid w:val="62CC4B81"/>
    <w:rsid w:val="631F104A"/>
    <w:rsid w:val="63293771"/>
    <w:rsid w:val="6393508F"/>
    <w:rsid w:val="63A91D53"/>
    <w:rsid w:val="63E91153"/>
    <w:rsid w:val="63FD004C"/>
    <w:rsid w:val="6406065C"/>
    <w:rsid w:val="642E6B65"/>
    <w:rsid w:val="643610DF"/>
    <w:rsid w:val="646802C9"/>
    <w:rsid w:val="65A54132"/>
    <w:rsid w:val="65D26A9B"/>
    <w:rsid w:val="66067077"/>
    <w:rsid w:val="664B470D"/>
    <w:rsid w:val="668138C4"/>
    <w:rsid w:val="671D183F"/>
    <w:rsid w:val="672D488F"/>
    <w:rsid w:val="673B7D68"/>
    <w:rsid w:val="67A94E81"/>
    <w:rsid w:val="682727FB"/>
    <w:rsid w:val="69176857"/>
    <w:rsid w:val="698F62F8"/>
    <w:rsid w:val="6B1D4AB3"/>
    <w:rsid w:val="6B1F62A6"/>
    <w:rsid w:val="6B7C7A4B"/>
    <w:rsid w:val="6C540A6C"/>
    <w:rsid w:val="6C6E0447"/>
    <w:rsid w:val="6C727F37"/>
    <w:rsid w:val="6C8612C2"/>
    <w:rsid w:val="6C8B3195"/>
    <w:rsid w:val="6CA83959"/>
    <w:rsid w:val="6E032671"/>
    <w:rsid w:val="6E1F40EF"/>
    <w:rsid w:val="6EAE5472"/>
    <w:rsid w:val="6EC76544"/>
    <w:rsid w:val="6FC46CFB"/>
    <w:rsid w:val="6FCE4D95"/>
    <w:rsid w:val="6FD9207B"/>
    <w:rsid w:val="700F0193"/>
    <w:rsid w:val="70941479"/>
    <w:rsid w:val="70A6501A"/>
    <w:rsid w:val="70B1597A"/>
    <w:rsid w:val="71C617F4"/>
    <w:rsid w:val="71D8334A"/>
    <w:rsid w:val="71DF3B2C"/>
    <w:rsid w:val="72303324"/>
    <w:rsid w:val="72C36EB5"/>
    <w:rsid w:val="72CB1006"/>
    <w:rsid w:val="7311057B"/>
    <w:rsid w:val="73326672"/>
    <w:rsid w:val="735A6E2B"/>
    <w:rsid w:val="742F4C61"/>
    <w:rsid w:val="74305580"/>
    <w:rsid w:val="7614708F"/>
    <w:rsid w:val="76BC1DF6"/>
    <w:rsid w:val="77EB74C7"/>
    <w:rsid w:val="77F07564"/>
    <w:rsid w:val="784D3606"/>
    <w:rsid w:val="79053EE1"/>
    <w:rsid w:val="792F0F5E"/>
    <w:rsid w:val="79A731EA"/>
    <w:rsid w:val="7A335A99"/>
    <w:rsid w:val="7B087614"/>
    <w:rsid w:val="7B542EFE"/>
    <w:rsid w:val="7B75534E"/>
    <w:rsid w:val="7BDA01BB"/>
    <w:rsid w:val="7C3C50D6"/>
    <w:rsid w:val="7C461D03"/>
    <w:rsid w:val="7C7B2E38"/>
    <w:rsid w:val="7CA0464C"/>
    <w:rsid w:val="7DD8614A"/>
    <w:rsid w:val="7DF05434"/>
    <w:rsid w:val="7E026C41"/>
    <w:rsid w:val="7E094473"/>
    <w:rsid w:val="7E372D8F"/>
    <w:rsid w:val="7E575070"/>
    <w:rsid w:val="7EB468D5"/>
    <w:rsid w:val="7EC02D84"/>
    <w:rsid w:val="7F6523EE"/>
    <w:rsid w:val="7F871AF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7"/>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9"/>
    <w:autoRedefine/>
    <w:qFormat/>
    <w:uiPriority w:val="0"/>
    <w:pPr>
      <w:keepNext/>
      <w:keepLines/>
      <w:spacing w:before="260" w:after="260" w:line="416" w:lineRule="auto"/>
      <w:outlineLvl w:val="2"/>
    </w:pPr>
    <w:rPr>
      <w:b/>
      <w:bCs/>
      <w:sz w:val="32"/>
      <w:szCs w:val="32"/>
    </w:rPr>
  </w:style>
  <w:style w:type="paragraph" w:styleId="6">
    <w:name w:val="heading 4"/>
    <w:basedOn w:val="1"/>
    <w:next w:val="1"/>
    <w:link w:val="40"/>
    <w:autoRedefine/>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41"/>
    <w:autoRedefine/>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3"/>
    <w:autoRedefine/>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4"/>
    <w:autoRedefine/>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autoRedefine/>
    <w:qFormat/>
    <w:uiPriority w:val="0"/>
    <w:pPr>
      <w:ind w:firstLine="480" w:firstLineChars="200"/>
      <w:jc w:val="left"/>
    </w:pPr>
    <w:rPr>
      <w:rFonts w:ascii="Times New Roman" w:hAnsi="宋体"/>
      <w:szCs w:val="20"/>
    </w:r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autoRedefine/>
    <w:qFormat/>
    <w:uiPriority w:val="0"/>
    <w:pPr>
      <w:ind w:firstLine="420"/>
    </w:pPr>
  </w:style>
  <w:style w:type="paragraph" w:styleId="14">
    <w:name w:val="annotation text"/>
    <w:basedOn w:val="1"/>
    <w:autoRedefine/>
    <w:qFormat/>
    <w:uiPriority w:val="0"/>
    <w:pPr>
      <w:jc w:val="left"/>
    </w:pPr>
  </w:style>
  <w:style w:type="paragraph" w:styleId="15">
    <w:name w:val="Body Text"/>
    <w:basedOn w:val="1"/>
    <w:link w:val="89"/>
    <w:autoRedefine/>
    <w:qFormat/>
    <w:uiPriority w:val="0"/>
    <w:pPr>
      <w:spacing w:after="120"/>
    </w:pPr>
  </w:style>
  <w:style w:type="paragraph" w:styleId="16">
    <w:name w:val="toc 5"/>
    <w:basedOn w:val="1"/>
    <w:next w:val="1"/>
    <w:autoRedefine/>
    <w:unhideWhenUsed/>
    <w:qFormat/>
    <w:uiPriority w:val="39"/>
    <w:pPr>
      <w:ind w:left="839"/>
    </w:pPr>
    <w:rPr>
      <w:rFonts w:ascii="宋体"/>
    </w:rPr>
  </w:style>
  <w:style w:type="paragraph" w:styleId="17">
    <w:name w:val="toc 3"/>
    <w:basedOn w:val="1"/>
    <w:next w:val="1"/>
    <w:autoRedefine/>
    <w:unhideWhenUsed/>
    <w:qFormat/>
    <w:uiPriority w:val="39"/>
    <w:pPr>
      <w:spacing w:line="300" w:lineRule="exact"/>
      <w:ind w:left="420"/>
    </w:pPr>
    <w:rPr>
      <w:rFonts w:ascii="宋体"/>
    </w:rPr>
  </w:style>
  <w:style w:type="paragraph" w:styleId="18">
    <w:name w:val="Balloon Text"/>
    <w:basedOn w:val="1"/>
    <w:link w:val="48"/>
    <w:autoRedefine/>
    <w:semiHidden/>
    <w:unhideWhenUsed/>
    <w:qFormat/>
    <w:uiPriority w:val="99"/>
    <w:rPr>
      <w:sz w:val="18"/>
      <w:szCs w:val="18"/>
    </w:rPr>
  </w:style>
  <w:style w:type="paragraph" w:styleId="19">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46"/>
    <w:autoRedefine/>
    <w:qFormat/>
    <w:uiPriority w:val="99"/>
    <w:pPr>
      <w:tabs>
        <w:tab w:val="center" w:pos="4153"/>
        <w:tab w:val="right" w:pos="8306"/>
      </w:tabs>
      <w:adjustRightInd/>
      <w:snapToGrid w:val="0"/>
      <w:jc w:val="center"/>
    </w:pPr>
    <w:rPr>
      <w:sz w:val="18"/>
      <w:szCs w:val="18"/>
    </w:rPr>
  </w:style>
  <w:style w:type="paragraph" w:styleId="21">
    <w:name w:val="toc 1"/>
    <w:basedOn w:val="1"/>
    <w:next w:val="1"/>
    <w:autoRedefine/>
    <w:unhideWhenUsed/>
    <w:qFormat/>
    <w:uiPriority w:val="39"/>
    <w:rPr>
      <w:rFonts w:ascii="宋体"/>
    </w:rPr>
  </w:style>
  <w:style w:type="paragraph" w:styleId="22">
    <w:name w:val="toc 4"/>
    <w:basedOn w:val="1"/>
    <w:next w:val="1"/>
    <w:autoRedefine/>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102"/>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autoRedefine/>
    <w:unhideWhenUsed/>
    <w:qFormat/>
    <w:uiPriority w:val="39"/>
    <w:pPr>
      <w:spacing w:line="300" w:lineRule="exact"/>
      <w:ind w:left="1049"/>
    </w:pPr>
    <w:rPr>
      <w:rFonts w:ascii="宋体"/>
    </w:rPr>
  </w:style>
  <w:style w:type="paragraph" w:styleId="25">
    <w:name w:val="table of figures"/>
    <w:basedOn w:val="1"/>
    <w:next w:val="1"/>
    <w:autoRedefine/>
    <w:semiHidden/>
    <w:qFormat/>
    <w:uiPriority w:val="0"/>
    <w:pPr>
      <w:adjustRightInd/>
      <w:spacing w:line="240" w:lineRule="auto"/>
      <w:jc w:val="left"/>
    </w:pPr>
    <w:rPr>
      <w:szCs w:val="24"/>
    </w:rPr>
  </w:style>
  <w:style w:type="paragraph" w:styleId="26">
    <w:name w:val="toc 2"/>
    <w:basedOn w:val="1"/>
    <w:next w:val="1"/>
    <w:autoRedefine/>
    <w:unhideWhenUsed/>
    <w:qFormat/>
    <w:uiPriority w:val="39"/>
    <w:pPr>
      <w:tabs>
        <w:tab w:val="right" w:leader="dot" w:pos="9344"/>
      </w:tabs>
      <w:spacing w:line="300" w:lineRule="exact"/>
      <w:ind w:left="210"/>
    </w:pPr>
    <w:rPr>
      <w:rFonts w:ascii="宋体"/>
    </w:rPr>
  </w:style>
  <w:style w:type="paragraph" w:styleId="27">
    <w:name w:val="Title"/>
    <w:basedOn w:val="1"/>
    <w:link w:val="51"/>
    <w:autoRedefine/>
    <w:qFormat/>
    <w:uiPriority w:val="0"/>
    <w:pPr>
      <w:spacing w:before="240" w:after="60"/>
      <w:jc w:val="center"/>
      <w:outlineLvl w:val="0"/>
    </w:pPr>
    <w:rPr>
      <w:rFonts w:ascii="Arial" w:hAnsi="Arial" w:cs="Arial"/>
      <w:b/>
      <w:bCs/>
      <w:sz w:val="32"/>
      <w:szCs w:val="32"/>
    </w:rPr>
  </w:style>
  <w:style w:type="table" w:styleId="29">
    <w:name w:val="Table Grid"/>
    <w:basedOn w:val="28"/>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Char"/>
    <w:link w:val="3"/>
    <w:autoRedefine/>
    <w:qFormat/>
    <w:uiPriority w:val="0"/>
    <w:rPr>
      <w:b/>
      <w:bCs/>
      <w:kern w:val="44"/>
      <w:sz w:val="44"/>
      <w:szCs w:val="44"/>
    </w:rPr>
  </w:style>
  <w:style w:type="character" w:customStyle="1" w:styleId="38">
    <w:name w:val="标题 2 Char"/>
    <w:link w:val="4"/>
    <w:autoRedefine/>
    <w:qFormat/>
    <w:uiPriority w:val="0"/>
    <w:rPr>
      <w:rFonts w:ascii="Arial" w:hAnsi="Arial" w:eastAsia="黑体"/>
      <w:b/>
      <w:bCs/>
      <w:kern w:val="2"/>
      <w:sz w:val="32"/>
      <w:szCs w:val="32"/>
    </w:rPr>
  </w:style>
  <w:style w:type="character" w:customStyle="1" w:styleId="39">
    <w:name w:val="标题 3 Char"/>
    <w:link w:val="5"/>
    <w:autoRedefine/>
    <w:qFormat/>
    <w:uiPriority w:val="0"/>
    <w:rPr>
      <w:b/>
      <w:bCs/>
      <w:kern w:val="2"/>
      <w:sz w:val="32"/>
      <w:szCs w:val="32"/>
    </w:rPr>
  </w:style>
  <w:style w:type="character" w:customStyle="1" w:styleId="40">
    <w:name w:val="标题 4 Char"/>
    <w:link w:val="6"/>
    <w:autoRedefine/>
    <w:qFormat/>
    <w:uiPriority w:val="0"/>
    <w:rPr>
      <w:rFonts w:ascii="Arial" w:hAnsi="Arial" w:eastAsia="黑体"/>
      <w:b/>
      <w:bCs/>
      <w:kern w:val="2"/>
      <w:sz w:val="28"/>
      <w:szCs w:val="28"/>
    </w:rPr>
  </w:style>
  <w:style w:type="character" w:customStyle="1" w:styleId="41">
    <w:name w:val="标题 5 Char"/>
    <w:link w:val="7"/>
    <w:autoRedefine/>
    <w:qFormat/>
    <w:uiPriority w:val="0"/>
    <w:rPr>
      <w:b/>
      <w:bCs/>
      <w:kern w:val="2"/>
      <w:sz w:val="28"/>
      <w:szCs w:val="28"/>
    </w:rPr>
  </w:style>
  <w:style w:type="character" w:customStyle="1" w:styleId="42">
    <w:name w:val="标题 6 Char"/>
    <w:link w:val="8"/>
    <w:autoRedefine/>
    <w:qFormat/>
    <w:uiPriority w:val="0"/>
    <w:rPr>
      <w:rFonts w:ascii="Arial" w:hAnsi="Arial" w:eastAsia="黑体"/>
      <w:b/>
      <w:bCs/>
      <w:kern w:val="2"/>
      <w:sz w:val="24"/>
      <w:szCs w:val="24"/>
    </w:rPr>
  </w:style>
  <w:style w:type="character" w:customStyle="1" w:styleId="43">
    <w:name w:val="标题 7 Char"/>
    <w:link w:val="9"/>
    <w:autoRedefine/>
    <w:qFormat/>
    <w:uiPriority w:val="0"/>
    <w:rPr>
      <w:b/>
      <w:bCs/>
      <w:kern w:val="2"/>
      <w:sz w:val="24"/>
      <w:szCs w:val="24"/>
    </w:rPr>
  </w:style>
  <w:style w:type="character" w:customStyle="1" w:styleId="44">
    <w:name w:val="标题 8 Char"/>
    <w:link w:val="10"/>
    <w:autoRedefine/>
    <w:qFormat/>
    <w:uiPriority w:val="0"/>
    <w:rPr>
      <w:rFonts w:ascii="Arial" w:hAnsi="Arial" w:eastAsia="黑体"/>
      <w:kern w:val="2"/>
      <w:sz w:val="24"/>
      <w:szCs w:val="24"/>
    </w:rPr>
  </w:style>
  <w:style w:type="character" w:customStyle="1" w:styleId="45">
    <w:name w:val="标题 9 Char"/>
    <w:link w:val="11"/>
    <w:autoRedefine/>
    <w:qFormat/>
    <w:uiPriority w:val="0"/>
    <w:rPr>
      <w:rFonts w:ascii="Arial" w:hAnsi="Arial" w:eastAsia="黑体"/>
      <w:kern w:val="2"/>
      <w:sz w:val="21"/>
      <w:szCs w:val="21"/>
    </w:rPr>
  </w:style>
  <w:style w:type="character" w:customStyle="1" w:styleId="46">
    <w:name w:val="页眉 Char"/>
    <w:link w:val="20"/>
    <w:autoRedefine/>
    <w:qFormat/>
    <w:uiPriority w:val="99"/>
    <w:rPr>
      <w:kern w:val="2"/>
      <w:sz w:val="18"/>
      <w:szCs w:val="18"/>
    </w:rPr>
  </w:style>
  <w:style w:type="character" w:customStyle="1" w:styleId="47">
    <w:name w:val="页脚 Char"/>
    <w:link w:val="19"/>
    <w:autoRedefine/>
    <w:qFormat/>
    <w:uiPriority w:val="99"/>
    <w:rPr>
      <w:rFonts w:ascii="宋体"/>
      <w:kern w:val="2"/>
      <w:sz w:val="18"/>
      <w:szCs w:val="18"/>
    </w:rPr>
  </w:style>
  <w:style w:type="character" w:customStyle="1" w:styleId="48">
    <w:name w:val="批注框文本 Char"/>
    <w:link w:val="18"/>
    <w:autoRedefine/>
    <w:semiHidden/>
    <w:qFormat/>
    <w:uiPriority w:val="99"/>
    <w:rPr>
      <w:kern w:val="2"/>
      <w:sz w:val="18"/>
      <w:szCs w:val="18"/>
    </w:rPr>
  </w:style>
  <w:style w:type="paragraph" w:styleId="49">
    <w:name w:val="Quote"/>
    <w:basedOn w:val="1"/>
    <w:next w:val="1"/>
    <w:link w:val="50"/>
    <w:autoRedefine/>
    <w:qFormat/>
    <w:uiPriority w:val="29"/>
    <w:rPr>
      <w:i/>
      <w:iCs/>
      <w:color w:val="000000"/>
    </w:rPr>
  </w:style>
  <w:style w:type="character" w:customStyle="1" w:styleId="50">
    <w:name w:val="引用 Char"/>
    <w:link w:val="49"/>
    <w:autoRedefine/>
    <w:qFormat/>
    <w:uiPriority w:val="29"/>
    <w:rPr>
      <w:i/>
      <w:iCs/>
      <w:color w:val="000000"/>
      <w:kern w:val="2"/>
      <w:sz w:val="21"/>
      <w:szCs w:val="21"/>
    </w:rPr>
  </w:style>
  <w:style w:type="character" w:customStyle="1" w:styleId="51">
    <w:name w:val="标题 Char"/>
    <w:link w:val="27"/>
    <w:autoRedefine/>
    <w:qFormat/>
    <w:uiPriority w:val="0"/>
    <w:rPr>
      <w:rFonts w:ascii="Arial" w:hAnsi="Arial" w:cs="Arial"/>
      <w:b/>
      <w:bCs/>
      <w:kern w:val="2"/>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jc w:val="left"/>
    </w:pPr>
  </w:style>
  <w:style w:type="paragraph" w:customStyle="1" w:styleId="66">
    <w:name w:val="标准文件_参考文献标题"/>
    <w:basedOn w:val="1"/>
    <w:next w:val="1"/>
    <w:autoRedefine/>
    <w:qFormat/>
    <w:uiPriority w:val="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5"/>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Char"/>
    <w:link w:val="15"/>
    <w:autoRedefine/>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ind w:left="0" w:firstLine="0"/>
    </w:pPr>
  </w:style>
  <w:style w:type="paragraph" w:customStyle="1" w:styleId="94">
    <w:name w:val="标准文件_目录标题"/>
    <w:basedOn w:val="1"/>
    <w:autoRedefine/>
    <w:qFormat/>
    <w:uiPriority w:val="0"/>
    <w:pPr>
      <w:spacing w:before="48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2">
    <w:name w:val="脚注文本 Char"/>
    <w:link w:val="23"/>
    <w:autoRedefine/>
    <w:semiHidden/>
    <w:qFormat/>
    <w:uiPriority w:val="0"/>
    <w:rPr>
      <w:rFonts w:ascii="宋体"/>
      <w:kern w:val="2"/>
      <w:sz w:val="18"/>
      <w:szCs w:val="18"/>
    </w:rPr>
  </w:style>
  <w:style w:type="paragraph" w:customStyle="1" w:styleId="103">
    <w:name w:val="标准文件_条文脚注"/>
    <w:basedOn w:val="23"/>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Lines="50" w:afterLines="5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autoRedefine/>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autoRedefine/>
    <w:qFormat/>
    <w:uiPriority w:val="0"/>
    <w:pPr>
      <w:ind w:left="1406" w:leftChars="0" w:hanging="499" w:firstLineChars="0"/>
    </w:pPr>
  </w:style>
  <w:style w:type="paragraph" w:customStyle="1" w:styleId="165">
    <w:name w:val="标准文件_一级无标题"/>
    <w:basedOn w:val="108"/>
    <w:autoRedefine/>
    <w:qFormat/>
    <w:uiPriority w:val="0"/>
    <w:pPr>
      <w:spacing w:beforeLines="0" w:afterLines="0"/>
      <w:outlineLvl w:val="9"/>
    </w:pPr>
    <w:rPr>
      <w:rFonts w:ascii="宋体" w:eastAsia="宋体"/>
    </w:rPr>
  </w:style>
  <w:style w:type="paragraph" w:customStyle="1" w:styleId="166">
    <w:name w:val="标准文件_五级无标题"/>
    <w:basedOn w:val="106"/>
    <w:autoRedefine/>
    <w:qFormat/>
    <w:uiPriority w:val="0"/>
    <w:pPr>
      <w:spacing w:beforeLines="0" w:afterLines="0"/>
      <w:outlineLvl w:val="9"/>
    </w:pPr>
    <w:rPr>
      <w:rFonts w:ascii="宋体" w:eastAsia="宋体"/>
    </w:rPr>
  </w:style>
  <w:style w:type="paragraph" w:customStyle="1" w:styleId="167">
    <w:name w:val="标准文件_三级无标题"/>
    <w:basedOn w:val="97"/>
    <w:autoRedefine/>
    <w:qFormat/>
    <w:uiPriority w:val="0"/>
    <w:pPr>
      <w:spacing w:beforeLines="0" w:afterLines="0"/>
      <w:outlineLvl w:val="9"/>
    </w:pPr>
    <w:rPr>
      <w:rFonts w:ascii="宋体" w:eastAsia="宋体"/>
    </w:rPr>
  </w:style>
  <w:style w:type="paragraph" w:customStyle="1" w:styleId="168">
    <w:name w:val="标准文件_二级无标题"/>
    <w:basedOn w:val="68"/>
    <w:autoRedefine/>
    <w:qFormat/>
    <w:uiPriority w:val="0"/>
    <w:pPr>
      <w:spacing w:beforeLines="0" w:afterLines="0"/>
      <w:outlineLvl w:val="9"/>
    </w:pPr>
    <w:rPr>
      <w:rFonts w:ascii="宋体" w:eastAsia="宋体"/>
    </w:rPr>
  </w:style>
  <w:style w:type="paragraph" w:customStyle="1" w:styleId="169">
    <w:name w:val="标准_四级无标题"/>
    <w:basedOn w:val="101"/>
    <w:next w:val="59"/>
    <w:autoRedefine/>
    <w:qFormat/>
    <w:uiPriority w:val="0"/>
    <w:rPr>
      <w:rFonts w:eastAsia="宋体"/>
    </w:rPr>
  </w:style>
  <w:style w:type="paragraph" w:customStyle="1" w:styleId="170">
    <w:name w:val="标准文件_四级无标题"/>
    <w:basedOn w:val="101"/>
    <w:autoRedefine/>
    <w:qFormat/>
    <w:uiPriority w:val="0"/>
    <w:pPr>
      <w:spacing w:beforeLines="0" w:afterLines="0"/>
      <w:outlineLvl w:val="9"/>
    </w:pPr>
    <w:rPr>
      <w:rFonts w:ascii="宋体" w:hAnsi="黑体" w:eastAsia="宋体"/>
      <w:szCs w:val="52"/>
    </w:rPr>
  </w:style>
  <w:style w:type="paragraph" w:customStyle="1" w:styleId="171">
    <w:name w:val="标准文件_大写罗马数字编号列项"/>
    <w:basedOn w:val="59"/>
    <w:autoRedefine/>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autoRedefine/>
    <w:qFormat/>
    <w:uiPriority w:val="0"/>
    <w:pPr>
      <w:numPr>
        <w:ilvl w:val="0"/>
        <w:numId w:val="24"/>
      </w:numPr>
      <w:ind w:firstLine="0" w:firstLineChars="0"/>
    </w:pPr>
    <w:rPr>
      <w:rFonts w:cs="Arial"/>
      <w:szCs w:val="28"/>
    </w:rPr>
  </w:style>
  <w:style w:type="paragraph" w:customStyle="1" w:styleId="173">
    <w:name w:val="标准文件_附录标题"/>
    <w:basedOn w:val="79"/>
    <w:autoRedefine/>
    <w:qFormat/>
    <w:uiPriority w:val="0"/>
    <w:pPr>
      <w:numPr>
        <w:numId w:val="0"/>
      </w:numPr>
      <w:spacing w:after="280"/>
      <w:outlineLvl w:val="9"/>
    </w:pPr>
  </w:style>
  <w:style w:type="paragraph" w:customStyle="1" w:styleId="174">
    <w:name w:val="标准文件_二级项"/>
    <w:autoRedefine/>
    <w:qFormat/>
    <w:uiPriority w:val="0"/>
    <w:rPr>
      <w:rFonts w:ascii="宋体" w:hAnsi="Times New Roman" w:eastAsia="宋体" w:cs="Times New Roman"/>
      <w:sz w:val="21"/>
      <w:lang w:val="en-US" w:eastAsia="zh-CN" w:bidi="ar-SA"/>
    </w:rPr>
  </w:style>
  <w:style w:type="paragraph" w:customStyle="1" w:styleId="175">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autoRedefine/>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autoRedefine/>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autoRedefine/>
    <w:qFormat/>
    <w:uiPriority w:val="0"/>
    <w:pPr>
      <w:ind w:firstLine="0" w:firstLineChars="0"/>
      <w:jc w:val="center"/>
    </w:pPr>
    <w:rPr>
      <w:sz w:val="18"/>
    </w:rPr>
  </w:style>
  <w:style w:type="paragraph" w:customStyle="1" w:styleId="182">
    <w:name w:val="标准文件_注："/>
    <w:next w:val="59"/>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autoRedefine/>
    <w:qFormat/>
    <w:uiPriority w:val="0"/>
    <w:pPr>
      <w:ind w:firstLine="420"/>
    </w:pPr>
    <w:rPr>
      <w:sz w:val="18"/>
    </w:rPr>
  </w:style>
  <w:style w:type="paragraph" w:customStyle="1" w:styleId="186">
    <w:name w:val="标准文件_示例×："/>
    <w:basedOn w:val="1"/>
    <w:next w:val="185"/>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autoRedefine/>
    <w:qFormat/>
    <w:uiPriority w:val="0"/>
    <w:rPr>
      <w:rFonts w:ascii="宋体" w:hAnsi="Times New Roman"/>
      <w:sz w:val="21"/>
    </w:rPr>
  </w:style>
  <w:style w:type="paragraph" w:customStyle="1" w:styleId="188">
    <w:name w:val="标准文件_表格续"/>
    <w:basedOn w:val="59"/>
    <w:next w:val="59"/>
    <w:autoRedefine/>
    <w:qFormat/>
    <w:uiPriority w:val="0"/>
    <w:pPr>
      <w:jc w:val="center"/>
    </w:pPr>
    <w:rPr>
      <w:rFonts w:ascii="黑体" w:hAnsi="黑体" w:eastAsia="黑体"/>
    </w:rPr>
  </w:style>
  <w:style w:type="character" w:styleId="189">
    <w:name w:val="Placeholder Text"/>
    <w:basedOn w:val="30"/>
    <w:autoRedefine/>
    <w:semiHidden/>
    <w:qFormat/>
    <w:uiPriority w:val="99"/>
    <w:rPr>
      <w:color w:val="808080"/>
    </w:rPr>
  </w:style>
  <w:style w:type="paragraph" w:customStyle="1" w:styleId="190">
    <w:name w:val="标准文件_二级项2"/>
    <w:basedOn w:val="59"/>
    <w:autoRedefine/>
    <w:qFormat/>
    <w:uiPriority w:val="0"/>
    <w:pPr>
      <w:numPr>
        <w:ilvl w:val="1"/>
        <w:numId w:val="21"/>
      </w:numPr>
      <w:ind w:firstLine="0" w:firstLineChars="0"/>
    </w:pPr>
  </w:style>
  <w:style w:type="paragraph" w:customStyle="1" w:styleId="191">
    <w:name w:val="标准文件_三级项2"/>
    <w:basedOn w:val="59"/>
    <w:autoRedefine/>
    <w:qFormat/>
    <w:uiPriority w:val="0"/>
    <w:pPr>
      <w:numPr>
        <w:ilvl w:val="0"/>
        <w:numId w:val="30"/>
      </w:numPr>
      <w:spacing w:line="300" w:lineRule="exact"/>
      <w:ind w:firstLineChars="0"/>
    </w:pPr>
    <w:rPr>
      <w:rFonts w:ascii="Times New Roman"/>
    </w:rPr>
  </w:style>
  <w:style w:type="paragraph" w:customStyle="1" w:styleId="192">
    <w:name w:val="标准文件_一级项2"/>
    <w:basedOn w:val="59"/>
    <w:autoRedefine/>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autoRedefine/>
    <w:qFormat/>
    <w:uiPriority w:val="0"/>
    <w:pPr>
      <w:ind w:firstLine="420"/>
    </w:pPr>
    <w:rPr>
      <w:rFonts w:ascii="黑体" w:eastAsia="黑体"/>
    </w:rPr>
  </w:style>
  <w:style w:type="character" w:customStyle="1" w:styleId="194">
    <w:name w:val="标准文件_来源"/>
    <w:basedOn w:val="30"/>
    <w:autoRedefine/>
    <w:qFormat/>
    <w:uiPriority w:val="1"/>
    <w:rPr>
      <w:rFonts w:eastAsia="宋体"/>
      <w:sz w:val="21"/>
    </w:rPr>
  </w:style>
  <w:style w:type="paragraph" w:customStyle="1" w:styleId="195">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autoRedefine/>
    <w:qFormat/>
    <w:uiPriority w:val="0"/>
    <w:pPr>
      <w:framePr w:w="3997" w:h="471" w:hRule="exact" w:hSpace="0" w:vSpace="181" w:wrap="around" w:vAnchor="page" w:hAnchor="page" w:x="1419" w:y="14097"/>
    </w:pPr>
  </w:style>
  <w:style w:type="paragraph" w:customStyle="1" w:styleId="197">
    <w:name w:val="其他实施日期"/>
    <w:basedOn w:val="157"/>
    <w:autoRedefine/>
    <w:qFormat/>
    <w:uiPriority w:val="0"/>
    <w:pPr>
      <w:framePr w:w="3997" w:h="471" w:hRule="exact" w:vSpace="181" w:wrap="around" w:vAnchor="page" w:hAnchor="page" w:x="7089" w:y="14097"/>
    </w:pPr>
  </w:style>
  <w:style w:type="paragraph" w:customStyle="1" w:styleId="198">
    <w:name w:val="标准文件_文件编号"/>
    <w:basedOn w:val="59"/>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autoRedefine/>
    <w:qFormat/>
    <w:uiPriority w:val="0"/>
    <w:pPr>
      <w:spacing w:before="57"/>
    </w:pPr>
    <w:rPr>
      <w:sz w:val="21"/>
    </w:rPr>
  </w:style>
  <w:style w:type="paragraph" w:customStyle="1" w:styleId="200">
    <w:name w:val="标准文件_文件名称"/>
    <w:basedOn w:val="59"/>
    <w:next w:val="59"/>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autoRedefine/>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autoRedefine/>
    <w:qFormat/>
    <w:uiPriority w:val="0"/>
    <w:pPr>
      <w:numPr>
        <w:ilvl w:val="1"/>
        <w:numId w:val="8"/>
      </w:numPr>
      <w:spacing w:beforeLines="50" w:afterLines="50"/>
      <w:ind w:firstLineChars="0"/>
    </w:pPr>
    <w:rPr>
      <w:rFonts w:ascii="黑体" w:eastAsia="黑体"/>
    </w:rPr>
  </w:style>
  <w:style w:type="paragraph" w:customStyle="1" w:styleId="204">
    <w:name w:val="标准文件_引言二级条标题"/>
    <w:basedOn w:val="59"/>
    <w:next w:val="59"/>
    <w:autoRedefine/>
    <w:qFormat/>
    <w:uiPriority w:val="0"/>
    <w:pPr>
      <w:numPr>
        <w:ilvl w:val="2"/>
        <w:numId w:val="8"/>
      </w:numPr>
      <w:spacing w:beforeLines="50" w:afterLines="50"/>
      <w:ind w:firstLineChars="0"/>
    </w:pPr>
    <w:rPr>
      <w:rFonts w:ascii="黑体" w:eastAsia="黑体"/>
    </w:rPr>
  </w:style>
  <w:style w:type="paragraph" w:customStyle="1" w:styleId="205">
    <w:name w:val="标准文件_引言三级条标题"/>
    <w:basedOn w:val="59"/>
    <w:next w:val="59"/>
    <w:autoRedefine/>
    <w:qFormat/>
    <w:uiPriority w:val="0"/>
    <w:pPr>
      <w:numPr>
        <w:ilvl w:val="3"/>
        <w:numId w:val="8"/>
      </w:numPr>
      <w:spacing w:beforeLines="50" w:afterLines="50"/>
      <w:ind w:firstLineChars="0"/>
    </w:pPr>
    <w:rPr>
      <w:rFonts w:ascii="黑体" w:eastAsia="黑体"/>
    </w:rPr>
  </w:style>
  <w:style w:type="paragraph" w:customStyle="1" w:styleId="206">
    <w:name w:val="标准文件_引言四级条标题"/>
    <w:basedOn w:val="59"/>
    <w:next w:val="59"/>
    <w:autoRedefine/>
    <w:qFormat/>
    <w:uiPriority w:val="0"/>
    <w:pPr>
      <w:numPr>
        <w:ilvl w:val="4"/>
        <w:numId w:val="8"/>
      </w:numPr>
      <w:spacing w:beforeLines="50" w:afterLines="50"/>
      <w:ind w:firstLineChars="0"/>
    </w:pPr>
    <w:rPr>
      <w:rFonts w:ascii="黑体" w:eastAsia="黑体"/>
    </w:rPr>
  </w:style>
  <w:style w:type="paragraph" w:customStyle="1" w:styleId="207">
    <w:name w:val="标准文件_引言五级条标题"/>
    <w:basedOn w:val="59"/>
    <w:next w:val="59"/>
    <w:autoRedefine/>
    <w:qFormat/>
    <w:uiPriority w:val="0"/>
    <w:pPr>
      <w:numPr>
        <w:ilvl w:val="5"/>
        <w:numId w:val="8"/>
      </w:numPr>
      <w:spacing w:beforeLines="50" w:afterLines="50"/>
      <w:ind w:firstLineChars="0"/>
    </w:pPr>
    <w:rPr>
      <w:rFonts w:ascii="黑体" w:eastAsia="黑体"/>
    </w:rPr>
  </w:style>
  <w:style w:type="paragraph" w:customStyle="1" w:styleId="208">
    <w:name w:val="标准文件_注后"/>
    <w:basedOn w:val="59"/>
    <w:autoRedefine/>
    <w:qFormat/>
    <w:uiPriority w:val="0"/>
    <w:pPr>
      <w:ind w:left="811" w:firstLine="0" w:firstLineChars="0"/>
    </w:pPr>
    <w:rPr>
      <w:sz w:val="18"/>
    </w:rPr>
  </w:style>
  <w:style w:type="paragraph" w:customStyle="1" w:styleId="209">
    <w:name w:val="标准文件_注X后"/>
    <w:basedOn w:val="59"/>
    <w:autoRedefine/>
    <w:qFormat/>
    <w:uiPriority w:val="0"/>
    <w:pPr>
      <w:ind w:left="811" w:firstLine="0" w:firstLineChars="0"/>
    </w:pPr>
    <w:rPr>
      <w:sz w:val="18"/>
    </w:rPr>
  </w:style>
  <w:style w:type="paragraph" w:customStyle="1" w:styleId="210">
    <w:name w:val="标准文件_示例后"/>
    <w:basedOn w:val="59"/>
    <w:autoRedefine/>
    <w:qFormat/>
    <w:uiPriority w:val="0"/>
    <w:pPr>
      <w:ind w:left="964" w:firstLine="0" w:firstLineChars="0"/>
    </w:pPr>
    <w:rPr>
      <w:sz w:val="18"/>
    </w:rPr>
  </w:style>
  <w:style w:type="paragraph" w:customStyle="1" w:styleId="211">
    <w:name w:val="标准文件_示例X后"/>
    <w:basedOn w:val="59"/>
    <w:link w:val="212"/>
    <w:autoRedefine/>
    <w:qFormat/>
    <w:uiPriority w:val="0"/>
    <w:pPr>
      <w:ind w:left="1049" w:firstLine="0" w:firstLineChars="0"/>
    </w:pPr>
    <w:rPr>
      <w:sz w:val="18"/>
    </w:rPr>
  </w:style>
  <w:style w:type="character" w:customStyle="1" w:styleId="212">
    <w:name w:val="标准文件_示例X后 字符"/>
    <w:basedOn w:val="187"/>
    <w:link w:val="211"/>
    <w:autoRedefine/>
    <w:qFormat/>
    <w:uiPriority w:val="0"/>
    <w:rPr>
      <w:rFonts w:ascii="宋体" w:hAnsi="Times New Roman"/>
      <w:sz w:val="18"/>
    </w:rPr>
  </w:style>
  <w:style w:type="paragraph" w:customStyle="1" w:styleId="213">
    <w:name w:val="标准文件_索引项"/>
    <w:basedOn w:val="59"/>
    <w:next w:val="59"/>
    <w:autoRedefine/>
    <w:qFormat/>
    <w:uiPriority w:val="0"/>
    <w:pPr>
      <w:tabs>
        <w:tab w:val="right" w:leader="dot" w:pos="9356"/>
      </w:tabs>
      <w:ind w:left="210" w:hanging="210" w:firstLineChars="0"/>
      <w:jc w:val="left"/>
    </w:pPr>
  </w:style>
  <w:style w:type="paragraph" w:customStyle="1" w:styleId="214">
    <w:name w:val="标准文件_附录一级无标题"/>
    <w:basedOn w:val="81"/>
    <w:autoRedefine/>
    <w:qFormat/>
    <w:uiPriority w:val="0"/>
    <w:pPr>
      <w:spacing w:beforeLines="0" w:afterLines="0" w:line="276" w:lineRule="auto"/>
      <w:outlineLvl w:val="9"/>
    </w:pPr>
    <w:rPr>
      <w:rFonts w:ascii="宋体" w:eastAsia="宋体"/>
    </w:rPr>
  </w:style>
  <w:style w:type="paragraph" w:customStyle="1" w:styleId="215">
    <w:name w:val="标准文件_附录二级无标题"/>
    <w:basedOn w:val="82"/>
    <w:autoRedefine/>
    <w:qFormat/>
    <w:uiPriority w:val="0"/>
    <w:pPr>
      <w:spacing w:beforeLines="0" w:afterLines="0" w:line="276" w:lineRule="auto"/>
      <w:outlineLvl w:val="9"/>
    </w:pPr>
    <w:rPr>
      <w:rFonts w:ascii="宋体" w:eastAsia="宋体"/>
    </w:rPr>
  </w:style>
  <w:style w:type="paragraph" w:customStyle="1" w:styleId="216">
    <w:name w:val="标准文件_附录三级无标题"/>
    <w:basedOn w:val="84"/>
    <w:autoRedefine/>
    <w:qFormat/>
    <w:uiPriority w:val="0"/>
    <w:pPr>
      <w:spacing w:beforeLines="0" w:afterLines="0" w:line="276" w:lineRule="auto"/>
      <w:outlineLvl w:val="9"/>
    </w:pPr>
    <w:rPr>
      <w:rFonts w:ascii="宋体" w:eastAsia="宋体"/>
    </w:rPr>
  </w:style>
  <w:style w:type="paragraph" w:customStyle="1" w:styleId="217">
    <w:name w:val="标准文件_附录四级无标题"/>
    <w:basedOn w:val="85"/>
    <w:autoRedefine/>
    <w:qFormat/>
    <w:uiPriority w:val="0"/>
    <w:pPr>
      <w:spacing w:beforeLines="0" w:afterLines="0" w:line="276" w:lineRule="auto"/>
      <w:outlineLvl w:val="9"/>
    </w:pPr>
    <w:rPr>
      <w:rFonts w:ascii="宋体" w:eastAsia="宋体"/>
    </w:rPr>
  </w:style>
  <w:style w:type="paragraph" w:customStyle="1" w:styleId="218">
    <w:name w:val="标准文件_附录五级无标题"/>
    <w:basedOn w:val="87"/>
    <w:autoRedefine/>
    <w:qFormat/>
    <w:uiPriority w:val="0"/>
    <w:pPr>
      <w:spacing w:beforeLines="0" w:afterLines="0" w:line="276" w:lineRule="auto"/>
      <w:outlineLvl w:val="9"/>
    </w:pPr>
    <w:rPr>
      <w:rFonts w:ascii="宋体" w:eastAsia="宋体"/>
    </w:rPr>
  </w:style>
  <w:style w:type="paragraph" w:customStyle="1" w:styleId="219">
    <w:name w:val="标准文件_引言一级无标题"/>
    <w:basedOn w:val="203"/>
    <w:next w:val="59"/>
    <w:autoRedefine/>
    <w:qFormat/>
    <w:uiPriority w:val="0"/>
    <w:pPr>
      <w:spacing w:beforeLines="0" w:afterLines="0" w:line="276" w:lineRule="auto"/>
    </w:pPr>
    <w:rPr>
      <w:rFonts w:ascii="宋体" w:eastAsia="宋体"/>
    </w:rPr>
  </w:style>
  <w:style w:type="paragraph" w:customStyle="1" w:styleId="220">
    <w:name w:val="标准文件_引言二级无标题"/>
    <w:basedOn w:val="204"/>
    <w:next w:val="59"/>
    <w:autoRedefine/>
    <w:qFormat/>
    <w:uiPriority w:val="0"/>
    <w:pPr>
      <w:spacing w:beforeLines="0" w:afterLines="0" w:line="276" w:lineRule="auto"/>
    </w:pPr>
    <w:rPr>
      <w:rFonts w:ascii="宋体" w:eastAsia="宋体"/>
    </w:rPr>
  </w:style>
  <w:style w:type="paragraph" w:customStyle="1" w:styleId="221">
    <w:name w:val="标准文件_引言三级无标题"/>
    <w:basedOn w:val="205"/>
    <w:autoRedefine/>
    <w:qFormat/>
    <w:uiPriority w:val="0"/>
    <w:pPr>
      <w:spacing w:beforeLines="0" w:afterLines="0" w:line="276" w:lineRule="auto"/>
    </w:pPr>
    <w:rPr>
      <w:rFonts w:ascii="宋体" w:eastAsia="宋体"/>
    </w:rPr>
  </w:style>
  <w:style w:type="paragraph" w:customStyle="1" w:styleId="222">
    <w:name w:val="标准文件_引言四级无标题"/>
    <w:basedOn w:val="206"/>
    <w:next w:val="59"/>
    <w:autoRedefine/>
    <w:qFormat/>
    <w:uiPriority w:val="0"/>
    <w:pPr>
      <w:spacing w:beforeLines="0" w:afterLines="0" w:line="276" w:lineRule="auto"/>
    </w:pPr>
    <w:rPr>
      <w:rFonts w:ascii="宋体" w:eastAsia="宋体"/>
    </w:rPr>
  </w:style>
  <w:style w:type="paragraph" w:customStyle="1" w:styleId="223">
    <w:name w:val="标准文件_引言五级无标题"/>
    <w:basedOn w:val="207"/>
    <w:next w:val="59"/>
    <w:autoRedefine/>
    <w:qFormat/>
    <w:uiPriority w:val="0"/>
    <w:pPr>
      <w:spacing w:beforeLines="0" w:afterLines="0" w:line="276" w:lineRule="auto"/>
    </w:pPr>
    <w:rPr>
      <w:rFonts w:ascii="宋体" w:eastAsia="宋体"/>
    </w:rPr>
  </w:style>
  <w:style w:type="paragraph" w:customStyle="1" w:styleId="224">
    <w:name w:val="标准文件_索引标题"/>
    <w:basedOn w:val="66"/>
    <w:next w:val="59"/>
    <w:autoRedefine/>
    <w:qFormat/>
    <w:uiPriority w:val="0"/>
    <w:rPr>
      <w:rFonts w:hAnsi="黑体"/>
    </w:rPr>
  </w:style>
  <w:style w:type="paragraph" w:customStyle="1" w:styleId="225">
    <w:name w:val="标准文件_脚注内容"/>
    <w:basedOn w:val="59"/>
    <w:autoRedefine/>
    <w:qFormat/>
    <w:uiPriority w:val="0"/>
    <w:pPr>
      <w:ind w:left="400" w:leftChars="200" w:hanging="200" w:hangingChars="200"/>
    </w:pPr>
    <w:rPr>
      <w:sz w:val="15"/>
    </w:rPr>
  </w:style>
  <w:style w:type="paragraph" w:customStyle="1" w:styleId="226">
    <w:name w:val="标准文件_术语条一"/>
    <w:basedOn w:val="165"/>
    <w:next w:val="59"/>
    <w:autoRedefine/>
    <w:qFormat/>
    <w:uiPriority w:val="0"/>
    <w:pPr>
      <w:snapToGrid w:val="0"/>
      <w:spacing w:beforeLines="50" w:afterLines="50"/>
      <w:ind w:left="0"/>
      <w:outlineLvl w:val="1"/>
      <w:pPrChange w:id="0" w:author="dell" w:date="2025-09-30T10:53:00Z">
        <w:pPr>
          <w:numPr>
            <w:ilvl w:val="2"/>
            <w:numId w:val="2"/>
          </w:numPr>
          <w:ind w:left="1418"/>
          <w:jc w:val="both"/>
        </w:pPr>
      </w:pPrChange>
    </w:pPr>
    <w:rPr>
      <w:rPrChange w:id="1" w:author="dell" w:date="2025-09-30T10:53:00Z">
        <w:rPr>
          <w:rFonts w:ascii="宋体" w:eastAsia="宋体"/>
          <w:sz w:val="21"/>
          <w:lang w:val="en-US" w:eastAsia="zh-CN" w:bidi="ar-SA"/>
        </w:rPr>
      </w:rPrChange>
    </w:rPr>
  </w:style>
  <w:style w:type="paragraph" w:customStyle="1" w:styleId="227">
    <w:name w:val="标准文件_术语条二"/>
    <w:basedOn w:val="168"/>
    <w:next w:val="59"/>
    <w:autoRedefine/>
    <w:qFormat/>
    <w:uiPriority w:val="0"/>
  </w:style>
  <w:style w:type="paragraph" w:customStyle="1" w:styleId="228">
    <w:name w:val="标准文件_术语条三"/>
    <w:basedOn w:val="167"/>
    <w:next w:val="59"/>
    <w:autoRedefine/>
    <w:qFormat/>
    <w:uiPriority w:val="0"/>
  </w:style>
  <w:style w:type="paragraph" w:customStyle="1" w:styleId="229">
    <w:name w:val="标准文件_术语条四"/>
    <w:basedOn w:val="170"/>
    <w:next w:val="59"/>
    <w:autoRedefine/>
    <w:qFormat/>
    <w:uiPriority w:val="0"/>
  </w:style>
  <w:style w:type="paragraph" w:customStyle="1" w:styleId="230">
    <w:name w:val="标准文件_术语条五"/>
    <w:basedOn w:val="166"/>
    <w:next w:val="59"/>
    <w:autoRedefine/>
    <w:qFormat/>
    <w:uiPriority w:val="0"/>
  </w:style>
  <w:style w:type="paragraph" w:customStyle="1" w:styleId="231">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autoRedefine/>
    <w:qFormat/>
    <w:uiPriority w:val="0"/>
    <w:rPr>
      <w:rFonts w:ascii="黑体" w:eastAsia="黑体"/>
      <w:spacing w:val="85"/>
      <w:w w:val="100"/>
      <w:position w:val="3"/>
      <w:sz w:val="28"/>
      <w:szCs w:val="28"/>
    </w:rPr>
  </w:style>
  <w:style w:type="paragraph" w:customStyle="1" w:styleId="233">
    <w:name w:val="二级条标题"/>
    <w:basedOn w:val="234"/>
    <w:next w:val="235"/>
    <w:autoRedefine/>
    <w:qFormat/>
    <w:uiPriority w:val="0"/>
    <w:pPr>
      <w:numPr>
        <w:ilvl w:val="3"/>
      </w:numPr>
      <w:tabs>
        <w:tab w:val="left" w:pos="0"/>
        <w:tab w:val="left" w:pos="709"/>
      </w:tabs>
      <w:spacing w:beforeLines="0" w:afterLines="0"/>
      <w:outlineLvl w:val="3"/>
    </w:pPr>
    <w:rPr>
      <w:b w:val="0"/>
    </w:rPr>
  </w:style>
  <w:style w:type="paragraph" w:customStyle="1" w:styleId="234">
    <w:name w:val="一级条标题"/>
    <w:next w:val="235"/>
    <w:autoRedefine/>
    <w:qFormat/>
    <w:uiPriority w:val="0"/>
    <w:pPr>
      <w:numPr>
        <w:ilvl w:val="2"/>
        <w:numId w:val="32"/>
      </w:numPr>
      <w:tabs>
        <w:tab w:val="left" w:pos="0"/>
      </w:tabs>
      <w:spacing w:beforeLines="50" w:afterLines="50" w:line="300" w:lineRule="auto"/>
      <w:ind w:left="0"/>
      <w:outlineLvl w:val="2"/>
    </w:pPr>
    <w:rPr>
      <w:rFonts w:ascii="Times New Roman" w:hAnsi="Times New Roman" w:eastAsia="宋体" w:cs="Times New Roman"/>
      <w:b/>
      <w:sz w:val="21"/>
      <w:lang w:val="en-US" w:eastAsia="zh-CN" w:bidi="ar-SA"/>
    </w:rPr>
  </w:style>
  <w:style w:type="paragraph" w:customStyle="1" w:styleId="235">
    <w:name w:val="段"/>
    <w:autoRedefine/>
    <w:qFormat/>
    <w:uiPriority w:val="0"/>
    <w:pPr>
      <w:autoSpaceDE w:val="0"/>
      <w:autoSpaceDN w:val="0"/>
      <w:spacing w:line="300" w:lineRule="auto"/>
      <w:ind w:firstLine="400" w:firstLineChars="200"/>
      <w:jc w:val="both"/>
    </w:pPr>
    <w:rPr>
      <w:rFonts w:ascii="宋体" w:hAnsi="宋体" w:eastAsia="宋体" w:cs="Times New Roman"/>
      <w:sz w:val="21"/>
      <w:lang w:val="en-US" w:eastAsia="zh-CN" w:bidi="ar-SA"/>
    </w:rPr>
  </w:style>
  <w:style w:type="paragraph" w:customStyle="1" w:styleId="236">
    <w:name w:val="列出段落1"/>
    <w:basedOn w:val="1"/>
    <w:autoRedefine/>
    <w:qFormat/>
    <w:uiPriority w:val="34"/>
    <w:pPr>
      <w:adjustRightInd/>
      <w:spacing w:line="240" w:lineRule="auto"/>
      <w:ind w:firstLine="420" w:firstLineChars="200"/>
    </w:pPr>
    <w:rPr>
      <w:rFonts w:ascii="宋体"/>
      <w:sz w:val="24"/>
    </w:rPr>
  </w:style>
  <w:style w:type="paragraph" w:customStyle="1" w:styleId="237">
    <w:name w:val="修订1"/>
    <w:autoRedefine/>
    <w:hidden/>
    <w:semiHidden/>
    <w:qFormat/>
    <w:uiPriority w:val="99"/>
    <w:rPr>
      <w:rFonts w:ascii="Calibri" w:hAnsi="Calibri" w:eastAsia="宋体" w:cs="Times New Roman"/>
      <w:kern w:val="2"/>
      <w:sz w:val="21"/>
      <w:szCs w:val="21"/>
      <w:lang w:val="en-US" w:eastAsia="zh-CN" w:bidi="ar-SA"/>
    </w:rPr>
  </w:style>
  <w:style w:type="paragraph" w:customStyle="1" w:styleId="238">
    <w:name w:val="列出段落2"/>
    <w:basedOn w:val="1"/>
    <w:autoRedefine/>
    <w:qFormat/>
    <w:uiPriority w:val="34"/>
    <w:pPr>
      <w:adjustRightInd/>
      <w:spacing w:line="240" w:lineRule="auto"/>
      <w:ind w:firstLine="420" w:firstLineChars="200"/>
    </w:pPr>
    <w:rPr>
      <w:rFonts w:ascii="宋体"/>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glossaryDocument" Target="glossary/document.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4.jpeg"/><Relationship Id="rId17" Type="http://schemas.openxmlformats.org/officeDocument/2006/relationships/image" Target="media/image3.png"/><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FA7467676A843CF96354C98B6E8FDA5"/>
        <w:style w:val=""/>
        <w:category>
          <w:name w:val="常规"/>
          <w:gallery w:val="placeholder"/>
        </w:category>
        <w:types>
          <w:type w:val="bbPlcHdr"/>
        </w:types>
        <w:behaviors>
          <w:behavior w:val="content"/>
        </w:behaviors>
        <w:description w:val=""/>
        <w:guid w:val="{5B7D202A-E828-453B-AAC3-73F82144BBBE}"/>
      </w:docPartPr>
      <w:docPartBody>
        <w:p w14:paraId="358F678E">
          <w:pPr>
            <w:pStyle w:val="5"/>
          </w:pPr>
          <w:r>
            <w:rPr>
              <w:rStyle w:val="4"/>
              <w:rFonts w:hint="eastAsia"/>
            </w:rPr>
            <w:t>单击或点击此处输入文字。</w:t>
          </w:r>
        </w:p>
      </w:docPartBody>
    </w:docPart>
    <w:docPart>
      <w:docPartPr>
        <w:name w:val="FA02C9094C554E51A8EE19FA7757E727"/>
        <w:style w:val=""/>
        <w:category>
          <w:name w:val="常规"/>
          <w:gallery w:val="placeholder"/>
        </w:category>
        <w:types>
          <w:type w:val="bbPlcHdr"/>
        </w:types>
        <w:behaviors>
          <w:behavior w:val="content"/>
        </w:behaviors>
        <w:description w:val=""/>
        <w:guid w:val="{8A309B24-6387-4084-9D06-2DD24D56D191}"/>
      </w:docPartPr>
      <w:docPartBody>
        <w:p w14:paraId="6AFD710B">
          <w:pPr>
            <w:pStyle w:val="6"/>
          </w:pPr>
          <w:r>
            <w:rPr>
              <w:rStyle w:val="4"/>
              <w:rFonts w:hint="eastAsia"/>
            </w:rPr>
            <w:t>选择一项。</w:t>
          </w:r>
        </w:p>
      </w:docPartBody>
    </w:docPart>
    <w:docPart>
      <w:docPartPr>
        <w:name w:val="B7C01C5FC59B4A93AEA36C0E0C421517"/>
        <w:style w:val=""/>
        <w:category>
          <w:name w:val="常规"/>
          <w:gallery w:val="placeholder"/>
        </w:category>
        <w:types>
          <w:type w:val="bbPlcHdr"/>
        </w:types>
        <w:behaviors>
          <w:behavior w:val="content"/>
        </w:behaviors>
        <w:description w:val=""/>
        <w:guid w:val="{23CE0FC5-5200-4651-9BC6-9280BD4F587A}"/>
      </w:docPartPr>
      <w:docPartBody>
        <w:p w14:paraId="30EE7962">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oNotDisplayPageBoundaries w:val="1"/>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5C5A82"/>
    <w:rsid w:val="0018417C"/>
    <w:rsid w:val="0018657D"/>
    <w:rsid w:val="00242255"/>
    <w:rsid w:val="003B201F"/>
    <w:rsid w:val="00404C57"/>
    <w:rsid w:val="005C5A82"/>
    <w:rsid w:val="00885694"/>
    <w:rsid w:val="008C3471"/>
    <w:rsid w:val="00A07CA6"/>
    <w:rsid w:val="00A732E6"/>
    <w:rsid w:val="00B97633"/>
    <w:rsid w:val="00C76338"/>
    <w:rsid w:val="00DA46C5"/>
    <w:rsid w:val="00F3469A"/>
    <w:rsid w:val="00F8095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8FA7467676A843CF96354C98B6E8FDA5"/>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FA02C9094C554E51A8EE19FA7757E72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7C01C5FC59B4A93AEA36C0E0C421517"/>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2CC5541-E0FD-4966-8F73-34EBBC44CCC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3538</Words>
  <Characters>3990</Characters>
  <Lines>61</Lines>
  <Paragraphs>17</Paragraphs>
  <TotalTime>1</TotalTime>
  <ScaleCrop>false</ScaleCrop>
  <LinksUpToDate>false</LinksUpToDate>
  <CharactersWithSpaces>4080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2023-09-14T11:08:00Z</dcterms:created>
  <dc:creator>NTKO</dc:creator>
  <dc:description>&lt;config cover="true" show_menu="true" version="1.0.0" doctype="SDKXY"&gt;_x000d_
&lt;/config&gt;</dc:description>
  <cp:lastModifiedBy>leehypo</cp:lastModifiedBy>
  <cp:lastPrinted>2021-02-02T08:22:00Z</cp:lastPrinted>
  <dcterms:modified xsi:type="dcterms:W3CDTF">2025-10-21T02:48:26Z</dcterms:modified>
  <dc:title>团体标准</dc:title>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03C4ECBFFECA4255887B75D120F34B9F_13</vt:lpwstr>
  </property>
  <property fmtid="{D5CDD505-2E9C-101B-9397-08002B2CF9AE}" pid="16" name="KSOTemplateDocerSaveRecord">
    <vt:lpwstr>eyJoZGlkIjoiZjFmNDZjYWE4ZTVhYTRmMTIxN2NiZDZlNWVjMzY1ODUiLCJ1c2VySWQiOiI5MjMwMDIxNzEifQ==</vt:lpwstr>
  </property>
</Properties>
</file>