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5305E6">
      <w:pPr>
        <w:spacing w:line="360" w:lineRule="auto"/>
        <w:jc w:val="center"/>
        <w:rPr>
          <w:rFonts w:ascii="黑体" w:hAnsi="宋体" w:eastAsia="黑体"/>
          <w:b/>
          <w:bCs/>
          <w:color w:val="000000"/>
          <w:sz w:val="52"/>
          <w:szCs w:val="52"/>
        </w:rPr>
      </w:pPr>
    </w:p>
    <w:p w14:paraId="2C8348BA">
      <w:pPr>
        <w:spacing w:line="360" w:lineRule="auto"/>
        <w:jc w:val="center"/>
        <w:rPr>
          <w:rFonts w:ascii="黑体" w:hAnsi="宋体" w:eastAsia="黑体"/>
          <w:b/>
          <w:bCs/>
          <w:color w:val="000000"/>
          <w:sz w:val="52"/>
          <w:szCs w:val="52"/>
        </w:rPr>
      </w:pPr>
    </w:p>
    <w:p w14:paraId="37B2237E">
      <w:pPr>
        <w:spacing w:line="720" w:lineRule="auto"/>
        <w:jc w:val="center"/>
        <w:rPr>
          <w:rFonts w:ascii="黑体" w:hAnsi="宋体" w:eastAsia="黑体"/>
          <w:b/>
          <w:bCs/>
          <w:color w:val="000000"/>
          <w:sz w:val="44"/>
          <w:szCs w:val="44"/>
        </w:rPr>
      </w:pPr>
      <w:r>
        <w:rPr>
          <w:rFonts w:hint="eastAsia" w:ascii="黑体" w:hAnsi="宋体" w:eastAsia="黑体"/>
          <w:b/>
          <w:bCs/>
          <w:color w:val="000000"/>
          <w:sz w:val="44"/>
          <w:szCs w:val="44"/>
          <w:lang w:val="en-US" w:eastAsia="zh-CN"/>
        </w:rPr>
        <w:t>中国港口协会团体</w:t>
      </w:r>
      <w:r>
        <w:rPr>
          <w:rFonts w:hint="eastAsia" w:ascii="黑体" w:hAnsi="宋体" w:eastAsia="黑体"/>
          <w:b/>
          <w:bCs/>
          <w:color w:val="000000"/>
          <w:sz w:val="44"/>
          <w:szCs w:val="44"/>
        </w:rPr>
        <w:t>标准</w:t>
      </w:r>
    </w:p>
    <w:p w14:paraId="4B8CDDAC">
      <w:pPr>
        <w:spacing w:line="720" w:lineRule="auto"/>
        <w:jc w:val="center"/>
        <w:rPr>
          <w:rFonts w:hint="eastAsia" w:ascii="黑体" w:hAnsi="宋体" w:eastAsia="黑体"/>
          <w:b/>
          <w:bCs/>
          <w:color w:val="000000"/>
          <w:sz w:val="44"/>
          <w:szCs w:val="44"/>
        </w:rPr>
      </w:pPr>
      <w:r>
        <w:rPr>
          <w:rFonts w:hint="eastAsia" w:ascii="黑体" w:hAnsi="宋体" w:eastAsia="黑体"/>
          <w:b/>
          <w:bCs/>
          <w:color w:val="000000"/>
          <w:sz w:val="44"/>
          <w:szCs w:val="44"/>
        </w:rPr>
        <w:t>集装箱低轨卫星通信终端技术要求</w:t>
      </w:r>
    </w:p>
    <w:p w14:paraId="2C5D3BF3">
      <w:pPr>
        <w:spacing w:line="720" w:lineRule="auto"/>
        <w:jc w:val="center"/>
        <w:rPr>
          <w:rFonts w:ascii="黑体" w:hAnsi="宋体" w:eastAsia="黑体"/>
          <w:b/>
          <w:bCs/>
          <w:color w:val="000000"/>
          <w:sz w:val="44"/>
          <w:szCs w:val="44"/>
        </w:rPr>
      </w:pPr>
      <w:r>
        <w:rPr>
          <w:rFonts w:hint="eastAsia" w:ascii="黑体" w:hAnsi="宋体" w:eastAsia="黑体"/>
          <w:b/>
          <w:bCs/>
          <w:color w:val="000000"/>
          <w:sz w:val="44"/>
          <w:szCs w:val="44"/>
        </w:rPr>
        <w:t>（</w:t>
      </w:r>
      <w:r>
        <w:rPr>
          <w:rFonts w:hint="eastAsia" w:ascii="黑体" w:hAnsi="宋体" w:eastAsia="黑体"/>
          <w:b/>
          <w:bCs/>
          <w:color w:val="000000"/>
          <w:sz w:val="44"/>
          <w:szCs w:val="44"/>
          <w:lang w:val="en-US" w:eastAsia="zh-CN"/>
        </w:rPr>
        <w:t>征求意见</w:t>
      </w:r>
      <w:r>
        <w:rPr>
          <w:rFonts w:hint="eastAsia" w:ascii="黑体" w:hAnsi="宋体" w:eastAsia="黑体"/>
          <w:b/>
          <w:bCs/>
          <w:color w:val="000000"/>
          <w:sz w:val="44"/>
          <w:szCs w:val="44"/>
        </w:rPr>
        <w:t>稿）</w:t>
      </w:r>
    </w:p>
    <w:p w14:paraId="72C24D10">
      <w:pPr>
        <w:spacing w:line="720" w:lineRule="auto"/>
        <w:jc w:val="center"/>
        <w:rPr>
          <w:rFonts w:ascii="黑体" w:hAnsi="宋体" w:eastAsia="黑体"/>
          <w:b/>
          <w:bCs/>
          <w:color w:val="000000"/>
          <w:sz w:val="44"/>
          <w:szCs w:val="44"/>
        </w:rPr>
      </w:pPr>
      <w:r>
        <w:rPr>
          <w:rFonts w:hint="eastAsia" w:ascii="黑体" w:hAnsi="宋体" w:eastAsia="黑体"/>
          <w:b/>
          <w:bCs/>
          <w:color w:val="000000"/>
          <w:sz w:val="44"/>
          <w:szCs w:val="44"/>
        </w:rPr>
        <w:t>编制说明</w:t>
      </w:r>
    </w:p>
    <w:p w14:paraId="73E89295">
      <w:pPr>
        <w:spacing w:line="360" w:lineRule="auto"/>
        <w:ind w:firstLine="435"/>
        <w:jc w:val="center"/>
        <w:rPr>
          <w:rFonts w:ascii="黑体" w:hAnsi="宋体" w:eastAsia="黑体"/>
          <w:b/>
          <w:bCs/>
          <w:color w:val="000000"/>
          <w:sz w:val="28"/>
          <w:szCs w:val="28"/>
        </w:rPr>
      </w:pPr>
    </w:p>
    <w:p w14:paraId="511933FF">
      <w:pPr>
        <w:spacing w:line="360" w:lineRule="auto"/>
        <w:ind w:firstLine="435"/>
        <w:jc w:val="center"/>
        <w:rPr>
          <w:rFonts w:ascii="黑体" w:hAnsi="宋体" w:eastAsia="黑体"/>
          <w:b/>
          <w:bCs/>
          <w:color w:val="000000"/>
          <w:sz w:val="28"/>
        </w:rPr>
      </w:pPr>
    </w:p>
    <w:p w14:paraId="5554E942">
      <w:pPr>
        <w:spacing w:line="360" w:lineRule="auto"/>
        <w:ind w:firstLine="435"/>
        <w:jc w:val="center"/>
        <w:rPr>
          <w:rFonts w:ascii="黑体" w:hAnsi="宋体" w:eastAsia="黑体"/>
          <w:b/>
          <w:bCs/>
          <w:color w:val="000000"/>
          <w:sz w:val="28"/>
          <w:szCs w:val="28"/>
        </w:rPr>
      </w:pPr>
    </w:p>
    <w:p w14:paraId="1A7BE2A4">
      <w:pPr>
        <w:spacing w:line="360" w:lineRule="auto"/>
        <w:ind w:firstLine="435"/>
        <w:jc w:val="center"/>
        <w:rPr>
          <w:rFonts w:ascii="黑体" w:hAnsi="宋体" w:eastAsia="黑体"/>
          <w:b/>
          <w:bCs/>
          <w:color w:val="000000"/>
          <w:sz w:val="28"/>
          <w:szCs w:val="28"/>
        </w:rPr>
      </w:pPr>
    </w:p>
    <w:p w14:paraId="2D07F275">
      <w:pPr>
        <w:spacing w:line="360" w:lineRule="auto"/>
        <w:ind w:firstLine="435"/>
        <w:jc w:val="center"/>
        <w:rPr>
          <w:rFonts w:ascii="黑体" w:hAnsi="宋体" w:eastAsia="黑体"/>
          <w:b/>
          <w:bCs/>
          <w:color w:val="000000"/>
          <w:sz w:val="28"/>
          <w:szCs w:val="28"/>
        </w:rPr>
      </w:pPr>
    </w:p>
    <w:p w14:paraId="2D95C101">
      <w:pPr>
        <w:spacing w:line="360" w:lineRule="auto"/>
        <w:ind w:firstLine="435"/>
        <w:jc w:val="center"/>
        <w:rPr>
          <w:rFonts w:ascii="黑体" w:hAnsi="宋体" w:eastAsia="黑体"/>
          <w:b/>
          <w:bCs/>
          <w:color w:val="000000"/>
          <w:sz w:val="28"/>
          <w:szCs w:val="28"/>
        </w:rPr>
      </w:pPr>
    </w:p>
    <w:p w14:paraId="0124C1F2">
      <w:pPr>
        <w:spacing w:line="360" w:lineRule="auto"/>
        <w:ind w:firstLine="435"/>
        <w:jc w:val="center"/>
        <w:rPr>
          <w:rFonts w:ascii="黑体" w:hAnsi="宋体" w:eastAsia="黑体"/>
          <w:b/>
          <w:bCs/>
          <w:color w:val="000000"/>
          <w:sz w:val="28"/>
          <w:szCs w:val="28"/>
        </w:rPr>
      </w:pPr>
    </w:p>
    <w:p w14:paraId="74E0D240">
      <w:pPr>
        <w:spacing w:line="360" w:lineRule="auto"/>
        <w:ind w:firstLine="435"/>
        <w:jc w:val="center"/>
        <w:rPr>
          <w:rFonts w:ascii="黑体" w:hAnsi="宋体" w:eastAsia="黑体"/>
          <w:b/>
          <w:bCs/>
          <w:color w:val="000000"/>
          <w:sz w:val="28"/>
          <w:szCs w:val="28"/>
        </w:rPr>
      </w:pPr>
    </w:p>
    <w:p w14:paraId="5DDD0068">
      <w:pPr>
        <w:spacing w:line="360" w:lineRule="auto"/>
        <w:jc w:val="center"/>
        <w:rPr>
          <w:rFonts w:ascii="黑体" w:hAnsi="宋体" w:eastAsia="黑体"/>
          <w:b/>
          <w:bCs/>
          <w:color w:val="000000"/>
          <w:sz w:val="32"/>
          <w:szCs w:val="32"/>
        </w:rPr>
      </w:pPr>
      <w:r>
        <w:rPr>
          <w:rFonts w:hint="eastAsia" w:ascii="黑体" w:hAnsi="宋体" w:eastAsia="黑体"/>
          <w:b/>
          <w:bCs/>
          <w:color w:val="000000"/>
          <w:sz w:val="32"/>
          <w:szCs w:val="32"/>
        </w:rPr>
        <w:t xml:space="preserve">  标准起草组</w:t>
      </w:r>
    </w:p>
    <w:p w14:paraId="5D0F7A26">
      <w:pPr>
        <w:spacing w:line="360" w:lineRule="auto"/>
        <w:jc w:val="center"/>
        <w:rPr>
          <w:rFonts w:ascii="黑体" w:hAnsi="宋体" w:eastAsia="黑体"/>
          <w:b/>
          <w:bCs/>
          <w:color w:val="000000"/>
          <w:sz w:val="32"/>
          <w:szCs w:val="32"/>
        </w:rPr>
      </w:pPr>
      <w:r>
        <w:rPr>
          <w:rFonts w:hint="eastAsia" w:ascii="黑体" w:hAnsi="宋体" w:eastAsia="黑体"/>
          <w:b/>
          <w:bCs/>
          <w:color w:val="000000"/>
          <w:sz w:val="32"/>
          <w:szCs w:val="32"/>
        </w:rPr>
        <w:t xml:space="preserve">  2024年</w:t>
      </w:r>
      <w:r>
        <w:rPr>
          <w:rFonts w:hint="eastAsia" w:ascii="黑体" w:hAnsi="宋体" w:eastAsia="黑体"/>
          <w:b/>
          <w:bCs/>
          <w:color w:val="000000"/>
          <w:sz w:val="32"/>
          <w:szCs w:val="32"/>
          <w:lang w:val="en-US" w:eastAsia="zh-CN"/>
        </w:rPr>
        <w:t>8</w:t>
      </w:r>
      <w:r>
        <w:rPr>
          <w:rFonts w:hint="eastAsia" w:ascii="黑体" w:hAnsi="宋体" w:eastAsia="黑体"/>
          <w:b/>
          <w:bCs/>
          <w:color w:val="000000"/>
          <w:sz w:val="32"/>
          <w:szCs w:val="32"/>
        </w:rPr>
        <w:t>月</w:t>
      </w:r>
    </w:p>
    <w:p w14:paraId="001FEA6A">
      <w:pPr>
        <w:widowControl/>
        <w:jc w:val="left"/>
        <w:rPr>
          <w:rFonts w:ascii="黑体" w:hAnsi="宋体" w:eastAsia="黑体"/>
          <w:b/>
          <w:bCs/>
          <w:color w:val="000000"/>
          <w:sz w:val="28"/>
        </w:rPr>
      </w:pPr>
      <w:r>
        <w:rPr>
          <w:rFonts w:ascii="黑体" w:hAnsi="宋体" w:eastAsia="黑体"/>
          <w:b/>
          <w:bCs/>
          <w:color w:val="000000"/>
          <w:sz w:val="28"/>
        </w:rPr>
        <w:br w:type="page"/>
      </w:r>
    </w:p>
    <w:p w14:paraId="28134264"/>
    <w:p w14:paraId="52753494">
      <w:pPr>
        <w:spacing w:line="360" w:lineRule="auto"/>
        <w:jc w:val="center"/>
        <w:rPr>
          <w:rFonts w:ascii="黑体" w:hAnsi="宋体" w:eastAsia="黑体"/>
          <w:b/>
          <w:bCs/>
          <w:color w:val="000000"/>
          <w:sz w:val="32"/>
          <w:szCs w:val="32"/>
        </w:rPr>
      </w:pPr>
      <w:bookmarkStart w:id="0" w:name="_Toc486254126"/>
      <w:r>
        <w:rPr>
          <w:rFonts w:hint="eastAsia" w:ascii="黑体" w:hAnsi="宋体" w:eastAsia="黑体"/>
          <w:b/>
          <w:bCs/>
          <w:color w:val="000000"/>
          <w:sz w:val="32"/>
          <w:szCs w:val="32"/>
        </w:rPr>
        <w:t>目  录</w:t>
      </w:r>
      <w:bookmarkEnd w:id="0"/>
    </w:p>
    <w:p w14:paraId="3AB6B353"/>
    <w:p w14:paraId="2177E911">
      <w:pPr>
        <w:pStyle w:val="11"/>
        <w:tabs>
          <w:tab w:val="right" w:leader="dot" w:pos="8278"/>
          <w:tab w:val="clear" w:pos="8296"/>
        </w:tabs>
        <w:spacing w:before="156"/>
      </w:pPr>
      <w:r>
        <w:rPr>
          <w:rStyle w:val="18"/>
        </w:rPr>
        <w:fldChar w:fldCharType="begin"/>
      </w:r>
      <w:r>
        <w:rPr>
          <w:rStyle w:val="18"/>
        </w:rPr>
        <w:instrText xml:space="preserve"> </w:instrText>
      </w:r>
      <w:r>
        <w:rPr>
          <w:rStyle w:val="18"/>
          <w:rFonts w:hint="eastAsia"/>
        </w:rPr>
        <w:instrText xml:space="preserve">TOC \o "1-1" \h \z \u</w:instrText>
      </w:r>
      <w:r>
        <w:rPr>
          <w:rStyle w:val="18"/>
        </w:rPr>
        <w:instrText xml:space="preserve"> </w:instrText>
      </w:r>
      <w:r>
        <w:rPr>
          <w:rStyle w:val="18"/>
        </w:rPr>
        <w:fldChar w:fldCharType="separate"/>
      </w:r>
      <w:r>
        <w:fldChar w:fldCharType="begin"/>
      </w:r>
      <w:r>
        <w:instrText xml:space="preserve"> HYPERLINK \l "_Toc17363" </w:instrText>
      </w:r>
      <w:r>
        <w:fldChar w:fldCharType="separate"/>
      </w:r>
      <w:r>
        <w:rPr>
          <w:rFonts w:hint="eastAsia"/>
        </w:rPr>
        <w:t>一、工作简况</w:t>
      </w:r>
      <w:r>
        <w:tab/>
      </w:r>
      <w:r>
        <w:fldChar w:fldCharType="begin"/>
      </w:r>
      <w:r>
        <w:instrText xml:space="preserve"> PAGEREF _Toc17363 \h </w:instrText>
      </w:r>
      <w:r>
        <w:fldChar w:fldCharType="separate"/>
      </w:r>
      <w:r>
        <w:t>1</w:t>
      </w:r>
      <w:r>
        <w:fldChar w:fldCharType="end"/>
      </w:r>
      <w:r>
        <w:fldChar w:fldCharType="end"/>
      </w:r>
    </w:p>
    <w:p w14:paraId="1A426D29">
      <w:pPr>
        <w:pStyle w:val="11"/>
        <w:tabs>
          <w:tab w:val="right" w:leader="dot" w:pos="8278"/>
          <w:tab w:val="clear" w:pos="8296"/>
        </w:tabs>
        <w:spacing w:before="156"/>
      </w:pPr>
      <w:r>
        <w:fldChar w:fldCharType="begin"/>
      </w:r>
      <w:r>
        <w:instrText xml:space="preserve"> HYPERLINK \l "_Toc7661" </w:instrText>
      </w:r>
      <w:r>
        <w:fldChar w:fldCharType="separate"/>
      </w:r>
      <w:r>
        <w:rPr>
          <w:rFonts w:hint="eastAsia"/>
        </w:rPr>
        <w:t>二、标准编制原则和确定标准主要内容的依据</w:t>
      </w:r>
      <w:r>
        <w:tab/>
      </w:r>
      <w:r>
        <w:fldChar w:fldCharType="begin"/>
      </w:r>
      <w:r>
        <w:instrText xml:space="preserve"> PAGEREF _Toc7661 \h </w:instrText>
      </w:r>
      <w:r>
        <w:fldChar w:fldCharType="separate"/>
      </w:r>
      <w:r>
        <w:t>3</w:t>
      </w:r>
      <w:r>
        <w:fldChar w:fldCharType="end"/>
      </w:r>
      <w:r>
        <w:fldChar w:fldCharType="end"/>
      </w:r>
    </w:p>
    <w:p w14:paraId="220D5CA9">
      <w:pPr>
        <w:pStyle w:val="11"/>
        <w:tabs>
          <w:tab w:val="right" w:leader="dot" w:pos="8278"/>
          <w:tab w:val="clear" w:pos="8296"/>
        </w:tabs>
        <w:spacing w:before="156"/>
      </w:pPr>
      <w:r>
        <w:fldChar w:fldCharType="begin"/>
      </w:r>
      <w:r>
        <w:instrText xml:space="preserve"> HYPERLINK \l "_Toc7669" </w:instrText>
      </w:r>
      <w:r>
        <w:fldChar w:fldCharType="separate"/>
      </w:r>
      <w:r>
        <w:rPr>
          <w:rFonts w:hint="eastAsia"/>
        </w:rPr>
        <w:t>三、主要试验的分析综述报告、技术经济论证或预期的经济效果</w:t>
      </w:r>
      <w:r>
        <w:tab/>
      </w:r>
      <w:r>
        <w:fldChar w:fldCharType="begin"/>
      </w:r>
      <w:r>
        <w:instrText xml:space="preserve"> PAGEREF _Toc7669 \h </w:instrText>
      </w:r>
      <w:r>
        <w:fldChar w:fldCharType="separate"/>
      </w:r>
      <w:r>
        <w:t>7</w:t>
      </w:r>
      <w:r>
        <w:fldChar w:fldCharType="end"/>
      </w:r>
      <w:r>
        <w:fldChar w:fldCharType="end"/>
      </w:r>
    </w:p>
    <w:p w14:paraId="777AF846">
      <w:pPr>
        <w:pStyle w:val="11"/>
        <w:tabs>
          <w:tab w:val="right" w:leader="dot" w:pos="8278"/>
          <w:tab w:val="clear" w:pos="8296"/>
        </w:tabs>
        <w:spacing w:before="156"/>
      </w:pPr>
      <w:r>
        <w:fldChar w:fldCharType="begin"/>
      </w:r>
      <w:r>
        <w:instrText xml:space="preserve"> HYPERLINK \l "_Toc2442" </w:instrText>
      </w:r>
      <w:r>
        <w:fldChar w:fldCharType="separate"/>
      </w:r>
      <w:r>
        <w:rPr>
          <w:rFonts w:hint="eastAsia"/>
        </w:rPr>
        <w:t>四、采用国际标准和国外先进标准的程度</w:t>
      </w:r>
      <w:r>
        <w:tab/>
      </w:r>
      <w:r>
        <w:fldChar w:fldCharType="begin"/>
      </w:r>
      <w:r>
        <w:instrText xml:space="preserve"> PAGEREF _Toc2442 \h </w:instrText>
      </w:r>
      <w:r>
        <w:fldChar w:fldCharType="separate"/>
      </w:r>
      <w:r>
        <w:t>8</w:t>
      </w:r>
      <w:r>
        <w:fldChar w:fldCharType="end"/>
      </w:r>
      <w:r>
        <w:fldChar w:fldCharType="end"/>
      </w:r>
    </w:p>
    <w:p w14:paraId="282A3C0C">
      <w:pPr>
        <w:pStyle w:val="11"/>
        <w:tabs>
          <w:tab w:val="right" w:leader="dot" w:pos="8278"/>
          <w:tab w:val="clear" w:pos="8296"/>
        </w:tabs>
        <w:spacing w:before="156"/>
      </w:pPr>
      <w:r>
        <w:fldChar w:fldCharType="begin"/>
      </w:r>
      <w:r>
        <w:instrText xml:space="preserve"> HYPERLINK \l "_Toc32687" </w:instrText>
      </w:r>
      <w:r>
        <w:fldChar w:fldCharType="separate"/>
      </w:r>
      <w:r>
        <w:rPr>
          <w:rFonts w:hint="eastAsia"/>
        </w:rPr>
        <w:t>五、与有关的现行法律、法规和强制性国家标准的关系</w:t>
      </w:r>
      <w:r>
        <w:tab/>
      </w:r>
      <w:r>
        <w:fldChar w:fldCharType="begin"/>
      </w:r>
      <w:r>
        <w:instrText xml:space="preserve"> PAGEREF _Toc32687 \h </w:instrText>
      </w:r>
      <w:r>
        <w:fldChar w:fldCharType="separate"/>
      </w:r>
      <w:r>
        <w:t>8</w:t>
      </w:r>
      <w:r>
        <w:fldChar w:fldCharType="end"/>
      </w:r>
      <w:r>
        <w:fldChar w:fldCharType="end"/>
      </w:r>
    </w:p>
    <w:p w14:paraId="63FDB0EF">
      <w:pPr>
        <w:pStyle w:val="11"/>
        <w:tabs>
          <w:tab w:val="right" w:leader="dot" w:pos="8278"/>
          <w:tab w:val="clear" w:pos="8296"/>
        </w:tabs>
        <w:spacing w:before="156"/>
      </w:pPr>
      <w:r>
        <w:fldChar w:fldCharType="begin"/>
      </w:r>
      <w:r>
        <w:instrText xml:space="preserve"> HYPERLINK \l "_Toc16065" </w:instrText>
      </w:r>
      <w:r>
        <w:fldChar w:fldCharType="separate"/>
      </w:r>
      <w:r>
        <w:rPr>
          <w:rFonts w:hint="eastAsia"/>
        </w:rPr>
        <w:t>六、重大分歧意见的处理经过和依据</w:t>
      </w:r>
      <w:r>
        <w:tab/>
      </w:r>
      <w:r>
        <w:fldChar w:fldCharType="begin"/>
      </w:r>
      <w:r>
        <w:instrText xml:space="preserve"> PAGEREF _Toc16065 \h </w:instrText>
      </w:r>
      <w:r>
        <w:fldChar w:fldCharType="separate"/>
      </w:r>
      <w:r>
        <w:t>8</w:t>
      </w:r>
      <w:r>
        <w:fldChar w:fldCharType="end"/>
      </w:r>
      <w:r>
        <w:fldChar w:fldCharType="end"/>
      </w:r>
    </w:p>
    <w:p w14:paraId="56E85CBE">
      <w:pPr>
        <w:pStyle w:val="11"/>
        <w:tabs>
          <w:tab w:val="right" w:leader="dot" w:pos="8278"/>
          <w:tab w:val="clear" w:pos="8296"/>
        </w:tabs>
        <w:spacing w:before="156"/>
      </w:pPr>
      <w:r>
        <w:fldChar w:fldCharType="begin"/>
      </w:r>
      <w:r>
        <w:instrText xml:space="preserve"> HYPERLINK \l "_Toc30843" </w:instrText>
      </w:r>
      <w:r>
        <w:fldChar w:fldCharType="separate"/>
      </w:r>
      <w:r>
        <w:rPr>
          <w:rFonts w:hint="eastAsia"/>
        </w:rPr>
        <w:t>七、标准过渡期的建议</w:t>
      </w:r>
      <w:r>
        <w:tab/>
      </w:r>
      <w:r>
        <w:fldChar w:fldCharType="begin"/>
      </w:r>
      <w:r>
        <w:instrText xml:space="preserve"> PAGEREF _Toc30843 \h </w:instrText>
      </w:r>
      <w:r>
        <w:fldChar w:fldCharType="separate"/>
      </w:r>
      <w:r>
        <w:t>8</w:t>
      </w:r>
      <w:r>
        <w:fldChar w:fldCharType="end"/>
      </w:r>
      <w:r>
        <w:fldChar w:fldCharType="end"/>
      </w:r>
    </w:p>
    <w:p w14:paraId="44D3D74E">
      <w:pPr>
        <w:pStyle w:val="11"/>
        <w:tabs>
          <w:tab w:val="right" w:leader="dot" w:pos="8278"/>
          <w:tab w:val="clear" w:pos="8296"/>
        </w:tabs>
        <w:spacing w:before="156"/>
      </w:pPr>
      <w:r>
        <w:fldChar w:fldCharType="begin"/>
      </w:r>
      <w:r>
        <w:instrText xml:space="preserve"> HYPERLINK \l "_Toc5165" </w:instrText>
      </w:r>
      <w:r>
        <w:fldChar w:fldCharType="separate"/>
      </w:r>
      <w:r>
        <w:rPr>
          <w:rFonts w:hint="eastAsia"/>
        </w:rPr>
        <w:t>八、废止现行有关标准的建议</w:t>
      </w:r>
      <w:r>
        <w:tab/>
      </w:r>
      <w:r>
        <w:fldChar w:fldCharType="begin"/>
      </w:r>
      <w:r>
        <w:instrText xml:space="preserve"> PAGEREF _Toc5165 \h </w:instrText>
      </w:r>
      <w:r>
        <w:fldChar w:fldCharType="separate"/>
      </w:r>
      <w:r>
        <w:t>9</w:t>
      </w:r>
      <w:r>
        <w:fldChar w:fldCharType="end"/>
      </w:r>
      <w:r>
        <w:fldChar w:fldCharType="end"/>
      </w:r>
    </w:p>
    <w:p w14:paraId="0C9DB2E0">
      <w:pPr>
        <w:pStyle w:val="11"/>
        <w:tabs>
          <w:tab w:val="right" w:leader="dot" w:pos="8278"/>
          <w:tab w:val="clear" w:pos="8296"/>
        </w:tabs>
        <w:spacing w:before="156"/>
      </w:pPr>
      <w:r>
        <w:fldChar w:fldCharType="begin"/>
      </w:r>
      <w:r>
        <w:instrText xml:space="preserve"> HYPERLINK \l "_Toc7525" </w:instrText>
      </w:r>
      <w:r>
        <w:fldChar w:fldCharType="separate"/>
      </w:r>
      <w:r>
        <w:rPr>
          <w:rFonts w:hint="eastAsia"/>
        </w:rPr>
        <w:t>九、其他应予说明的事项</w:t>
      </w:r>
      <w:r>
        <w:tab/>
      </w:r>
      <w:r>
        <w:fldChar w:fldCharType="begin"/>
      </w:r>
      <w:r>
        <w:instrText xml:space="preserve"> PAGEREF _Toc7525 \h </w:instrText>
      </w:r>
      <w:r>
        <w:fldChar w:fldCharType="separate"/>
      </w:r>
      <w:r>
        <w:t>9</w:t>
      </w:r>
      <w:r>
        <w:fldChar w:fldCharType="end"/>
      </w:r>
      <w:r>
        <w:fldChar w:fldCharType="end"/>
      </w:r>
    </w:p>
    <w:p w14:paraId="3F50D1DA">
      <w:pPr>
        <w:pStyle w:val="11"/>
        <w:spacing w:before="156"/>
      </w:pPr>
      <w:r>
        <w:fldChar w:fldCharType="end"/>
      </w:r>
    </w:p>
    <w:p w14:paraId="449068DC"/>
    <w:p w14:paraId="76BECF1B"/>
    <w:p w14:paraId="34E26E31"/>
    <w:p w14:paraId="04BA6E62"/>
    <w:p w14:paraId="069A1241"/>
    <w:p w14:paraId="7F223B46">
      <w:pPr>
        <w:widowControl/>
        <w:jc w:val="left"/>
        <w:rPr>
          <w:rFonts w:ascii="Cambria" w:hAnsi="Cambria"/>
          <w:b/>
          <w:bCs/>
          <w:sz w:val="32"/>
          <w:szCs w:val="32"/>
        </w:rPr>
      </w:pPr>
      <w:bookmarkStart w:id="1" w:name="_Toc486254127"/>
      <w:r>
        <w:rPr>
          <w:rFonts w:ascii="Cambria" w:hAnsi="Cambria"/>
          <w:b/>
          <w:bCs/>
          <w:sz w:val="32"/>
          <w:szCs w:val="32"/>
        </w:rPr>
        <w:br w:type="page"/>
      </w:r>
    </w:p>
    <w:p w14:paraId="1B8F93C3">
      <w:pPr>
        <w:spacing w:line="360" w:lineRule="auto"/>
        <w:jc w:val="center"/>
        <w:rPr>
          <w:rFonts w:ascii="Cambria" w:hAnsi="Cambria"/>
          <w:b/>
          <w:bCs/>
          <w:sz w:val="32"/>
          <w:szCs w:val="32"/>
        </w:rPr>
        <w:sectPr>
          <w:footerReference r:id="rId4" w:type="first"/>
          <w:footerReference r:id="rId3" w:type="default"/>
          <w:pgSz w:w="11906" w:h="16838"/>
          <w:pgMar w:top="1588" w:right="1814" w:bottom="1588" w:left="1814" w:header="851" w:footer="992" w:gutter="0"/>
          <w:pgNumType w:fmt="numberInDash" w:start="0"/>
          <w:cols w:space="425" w:num="1"/>
          <w:titlePg/>
          <w:docGrid w:type="lines" w:linePitch="312" w:charSpace="0"/>
        </w:sectPr>
      </w:pPr>
    </w:p>
    <w:bookmarkEnd w:id="1"/>
    <w:p w14:paraId="21D8354D">
      <w:pPr>
        <w:pStyle w:val="2"/>
        <w:spacing w:before="0" w:after="0" w:line="360" w:lineRule="auto"/>
        <w:ind w:firstLine="480" w:firstLineChars="200"/>
        <w:rPr>
          <w:rFonts w:asciiTheme="minorEastAsia" w:hAnsiTheme="minorEastAsia" w:eastAsiaTheme="minorEastAsia"/>
          <w:sz w:val="24"/>
          <w:szCs w:val="24"/>
        </w:rPr>
      </w:pPr>
      <w:bookmarkStart w:id="2" w:name="_Toc17363"/>
      <w:r>
        <w:rPr>
          <w:rFonts w:hint="eastAsia" w:asciiTheme="minorEastAsia" w:hAnsiTheme="minorEastAsia" w:eastAsiaTheme="minorEastAsia"/>
          <w:sz w:val="24"/>
          <w:szCs w:val="24"/>
        </w:rPr>
        <w:t>一、工作简况</w:t>
      </w:r>
      <w:bookmarkEnd w:id="2"/>
    </w:p>
    <w:p w14:paraId="0F3D1861">
      <w:pPr>
        <w:spacing w:line="360" w:lineRule="auto"/>
        <w:ind w:firstLine="480" w:firstLineChars="200"/>
        <w:rPr>
          <w:rFonts w:asciiTheme="minorEastAsia" w:hAnsiTheme="minorEastAsia" w:eastAsiaTheme="minorEastAsia"/>
          <w:b/>
          <w:sz w:val="24"/>
        </w:rPr>
      </w:pPr>
      <w:r>
        <w:rPr>
          <w:rFonts w:hint="eastAsia" w:asciiTheme="minorEastAsia" w:hAnsiTheme="minorEastAsia" w:eastAsiaTheme="minorEastAsia"/>
          <w:b/>
          <w:sz w:val="24"/>
        </w:rPr>
        <w:t>（一）任务来源</w:t>
      </w:r>
    </w:p>
    <w:p w14:paraId="00A701AF">
      <w:pPr>
        <w:pStyle w:val="43"/>
        <w:spacing w:line="360" w:lineRule="auto"/>
        <w:ind w:firstLine="480"/>
        <w:jc w:val="left"/>
        <w:rPr>
          <w:rFonts w:hint="eastAsia" w:asciiTheme="minorEastAsia" w:hAnsiTheme="minorEastAsia" w:eastAsiaTheme="minorEastAsia"/>
          <w:kern w:val="2"/>
          <w:sz w:val="24"/>
          <w:szCs w:val="24"/>
        </w:rPr>
      </w:pPr>
      <w:r>
        <w:rPr>
          <w:rFonts w:hint="eastAsia" w:asciiTheme="minorEastAsia" w:hAnsiTheme="minorEastAsia" w:eastAsiaTheme="minorEastAsia"/>
          <w:kern w:val="2"/>
          <w:sz w:val="24"/>
          <w:szCs w:val="24"/>
        </w:rPr>
        <w:t>为了</w:t>
      </w:r>
      <w:r>
        <w:rPr>
          <w:rFonts w:hint="eastAsia" w:asciiTheme="minorEastAsia" w:hAnsiTheme="minorEastAsia" w:eastAsiaTheme="minorEastAsia"/>
          <w:kern w:val="2"/>
          <w:sz w:val="24"/>
          <w:szCs w:val="24"/>
          <w:lang w:val="en-US" w:eastAsia="zh-CN"/>
        </w:rPr>
        <w:t>进一步</w:t>
      </w:r>
      <w:r>
        <w:rPr>
          <w:rFonts w:hint="eastAsia" w:asciiTheme="minorEastAsia" w:hAnsiTheme="minorEastAsia" w:eastAsiaTheme="minorEastAsia"/>
          <w:kern w:val="2"/>
          <w:sz w:val="24"/>
          <w:szCs w:val="24"/>
        </w:rPr>
        <w:t>规范我国</w:t>
      </w:r>
      <w:r>
        <w:rPr>
          <w:rFonts w:hint="eastAsia" w:asciiTheme="minorEastAsia" w:hAnsiTheme="minorEastAsia" w:eastAsiaTheme="minorEastAsia"/>
          <w:kern w:val="2"/>
          <w:sz w:val="24"/>
          <w:szCs w:val="24"/>
          <w:lang w:val="en-US" w:eastAsia="zh-CN"/>
        </w:rPr>
        <w:t>港口</w:t>
      </w:r>
      <w:r>
        <w:rPr>
          <w:rFonts w:hint="eastAsia" w:asciiTheme="minorEastAsia" w:hAnsiTheme="minorEastAsia" w:eastAsiaTheme="minorEastAsia"/>
          <w:kern w:val="2"/>
          <w:sz w:val="24"/>
          <w:szCs w:val="24"/>
        </w:rPr>
        <w:t>集装箱</w:t>
      </w:r>
      <w:r>
        <w:rPr>
          <w:rFonts w:hint="eastAsia" w:asciiTheme="minorEastAsia" w:hAnsiTheme="minorEastAsia" w:eastAsiaTheme="minorEastAsia"/>
          <w:kern w:val="2"/>
          <w:sz w:val="24"/>
          <w:szCs w:val="24"/>
          <w:lang w:val="en-US" w:eastAsia="zh-CN"/>
        </w:rPr>
        <w:t>运输领域应用低轨道卫星通信技术</w:t>
      </w:r>
      <w:r>
        <w:rPr>
          <w:rFonts w:hint="eastAsia" w:asciiTheme="minorEastAsia" w:hAnsiTheme="minorEastAsia" w:eastAsiaTheme="minorEastAsia"/>
          <w:kern w:val="2"/>
          <w:sz w:val="24"/>
          <w:szCs w:val="24"/>
        </w:rPr>
        <w:t>，</w:t>
      </w:r>
      <w:r>
        <w:rPr>
          <w:rFonts w:hint="eastAsia" w:asciiTheme="minorEastAsia" w:hAnsiTheme="minorEastAsia" w:eastAsiaTheme="minorEastAsia"/>
          <w:kern w:val="2"/>
          <w:sz w:val="24"/>
          <w:szCs w:val="24"/>
          <w:lang w:val="en-US" w:eastAsia="zh-CN"/>
        </w:rPr>
        <w:t>进一步推广应用低轨道卫星通信终端，中国港口协会</w:t>
      </w:r>
      <w:r>
        <w:rPr>
          <w:rFonts w:hint="eastAsia" w:asciiTheme="minorEastAsia" w:hAnsiTheme="minorEastAsia" w:eastAsiaTheme="minorEastAsia"/>
          <w:kern w:val="2"/>
          <w:sz w:val="24"/>
          <w:szCs w:val="24"/>
        </w:rPr>
        <w:t>于202</w:t>
      </w:r>
      <w:r>
        <w:rPr>
          <w:rFonts w:hint="eastAsia" w:asciiTheme="minorEastAsia" w:hAnsiTheme="minorEastAsia" w:eastAsiaTheme="minorEastAsia"/>
          <w:kern w:val="2"/>
          <w:sz w:val="24"/>
          <w:szCs w:val="24"/>
          <w:lang w:val="en-US" w:eastAsia="zh-CN"/>
        </w:rPr>
        <w:t>0</w:t>
      </w:r>
      <w:r>
        <w:rPr>
          <w:rFonts w:hint="eastAsia" w:asciiTheme="minorEastAsia" w:hAnsiTheme="minorEastAsia" w:eastAsiaTheme="minorEastAsia"/>
          <w:kern w:val="2"/>
          <w:sz w:val="24"/>
          <w:szCs w:val="24"/>
        </w:rPr>
        <w:t>年</w:t>
      </w:r>
      <w:r>
        <w:rPr>
          <w:rFonts w:hint="eastAsia" w:asciiTheme="minorEastAsia" w:hAnsiTheme="minorEastAsia" w:eastAsiaTheme="minorEastAsia"/>
          <w:kern w:val="2"/>
          <w:sz w:val="24"/>
          <w:szCs w:val="24"/>
          <w:lang w:val="en-US" w:eastAsia="zh-CN"/>
        </w:rPr>
        <w:t>下达了团体</w:t>
      </w:r>
      <w:r>
        <w:rPr>
          <w:rFonts w:hint="eastAsia" w:asciiTheme="minorEastAsia" w:hAnsiTheme="minorEastAsia" w:eastAsiaTheme="minorEastAsia"/>
          <w:kern w:val="2"/>
          <w:sz w:val="24"/>
          <w:szCs w:val="24"/>
        </w:rPr>
        <w:t>标准制定项目，计划名称为“集装箱低轨卫星通信终端技术要求”。</w:t>
      </w:r>
    </w:p>
    <w:p w14:paraId="4FA51E2B">
      <w:pPr>
        <w:pStyle w:val="43"/>
        <w:spacing w:line="360" w:lineRule="auto"/>
        <w:ind w:firstLine="480"/>
        <w:jc w:val="left"/>
        <w:rPr>
          <w:rFonts w:hint="eastAsia" w:asciiTheme="minorEastAsia" w:hAnsiTheme="minorEastAsia" w:eastAsiaTheme="minorEastAsia"/>
          <w:kern w:val="2"/>
          <w:sz w:val="24"/>
          <w:szCs w:val="24"/>
        </w:rPr>
      </w:pPr>
      <w:r>
        <w:rPr>
          <w:rFonts w:hint="eastAsia" w:asciiTheme="minorEastAsia" w:hAnsiTheme="minorEastAsia" w:eastAsiaTheme="minorEastAsia"/>
          <w:kern w:val="2"/>
          <w:sz w:val="24"/>
          <w:szCs w:val="24"/>
        </w:rPr>
        <w:t>标准性质：推荐性</w:t>
      </w:r>
      <w:r>
        <w:rPr>
          <w:rFonts w:hint="eastAsia" w:asciiTheme="minorEastAsia" w:hAnsiTheme="minorEastAsia" w:eastAsiaTheme="minorEastAsia"/>
          <w:kern w:val="2"/>
          <w:sz w:val="24"/>
          <w:szCs w:val="24"/>
          <w:lang w:val="en-US" w:eastAsia="zh-CN"/>
        </w:rPr>
        <w:t>中国港口协会团体</w:t>
      </w:r>
      <w:r>
        <w:rPr>
          <w:rFonts w:hint="eastAsia" w:asciiTheme="minorEastAsia" w:hAnsiTheme="minorEastAsia" w:eastAsiaTheme="minorEastAsia"/>
          <w:kern w:val="2"/>
          <w:sz w:val="24"/>
          <w:szCs w:val="24"/>
        </w:rPr>
        <w:t>标准。</w:t>
      </w:r>
    </w:p>
    <w:p w14:paraId="4B75025C">
      <w:pPr>
        <w:pStyle w:val="43"/>
        <w:spacing w:line="360" w:lineRule="auto"/>
        <w:ind w:firstLine="480"/>
        <w:jc w:val="left"/>
        <w:rPr>
          <w:rFonts w:hint="eastAsia" w:asciiTheme="minorEastAsia" w:hAnsiTheme="minorEastAsia" w:eastAsiaTheme="minorEastAsia"/>
          <w:kern w:val="2"/>
          <w:sz w:val="24"/>
          <w:szCs w:val="24"/>
        </w:rPr>
      </w:pPr>
      <w:r>
        <w:rPr>
          <w:rFonts w:hint="eastAsia" w:asciiTheme="minorEastAsia" w:hAnsiTheme="minorEastAsia" w:eastAsiaTheme="minorEastAsia"/>
          <w:kern w:val="2"/>
          <w:sz w:val="24"/>
          <w:szCs w:val="24"/>
        </w:rPr>
        <w:t>归口单位：</w:t>
      </w:r>
      <w:r>
        <w:rPr>
          <w:rFonts w:hint="eastAsia" w:asciiTheme="minorEastAsia" w:hAnsiTheme="minorEastAsia" w:eastAsiaTheme="minorEastAsia"/>
          <w:kern w:val="2"/>
          <w:sz w:val="24"/>
          <w:szCs w:val="24"/>
          <w:lang w:val="en-US" w:eastAsia="zh-CN"/>
        </w:rPr>
        <w:t>中国港口协会</w:t>
      </w:r>
      <w:r>
        <w:rPr>
          <w:rFonts w:hint="eastAsia" w:asciiTheme="minorEastAsia" w:hAnsiTheme="minorEastAsia" w:eastAsiaTheme="minorEastAsia"/>
          <w:kern w:val="2"/>
          <w:sz w:val="24"/>
          <w:szCs w:val="24"/>
        </w:rPr>
        <w:t>。</w:t>
      </w:r>
    </w:p>
    <w:p w14:paraId="301D7E60">
      <w:pPr>
        <w:spacing w:line="360" w:lineRule="auto"/>
        <w:ind w:firstLine="480" w:firstLineChars="200"/>
        <w:rPr>
          <w:rFonts w:asciiTheme="minorEastAsia" w:hAnsiTheme="minorEastAsia" w:eastAsiaTheme="minorEastAsia"/>
          <w:b/>
          <w:sz w:val="24"/>
        </w:rPr>
      </w:pPr>
      <w:r>
        <w:rPr>
          <w:rFonts w:hint="eastAsia" w:asciiTheme="minorEastAsia" w:hAnsiTheme="minorEastAsia" w:eastAsiaTheme="minorEastAsia"/>
          <w:b/>
          <w:sz w:val="24"/>
        </w:rPr>
        <w:t>（二）起草单位</w:t>
      </w:r>
    </w:p>
    <w:p w14:paraId="63ADF282">
      <w:pPr>
        <w:pStyle w:val="43"/>
        <w:spacing w:line="360" w:lineRule="auto"/>
        <w:ind w:firstLine="480"/>
        <w:jc w:val="left"/>
        <w:rPr>
          <w:rFonts w:hint="eastAsia" w:asciiTheme="minorEastAsia" w:hAnsiTheme="minorEastAsia" w:eastAsiaTheme="minorEastAsia"/>
          <w:kern w:val="2"/>
          <w:sz w:val="24"/>
          <w:szCs w:val="24"/>
        </w:rPr>
      </w:pPr>
      <w:r>
        <w:rPr>
          <w:rFonts w:hint="eastAsia" w:asciiTheme="minorEastAsia" w:hAnsiTheme="minorEastAsia" w:eastAsiaTheme="minorEastAsia"/>
          <w:kern w:val="2"/>
          <w:sz w:val="24"/>
          <w:szCs w:val="24"/>
        </w:rPr>
        <w:t>标准编写主要由北京国电高科科技有限公司</w:t>
      </w:r>
      <w:r>
        <w:rPr>
          <w:rFonts w:hint="eastAsia" w:asciiTheme="minorEastAsia" w:hAnsiTheme="minorEastAsia" w:eastAsiaTheme="minorEastAsia"/>
          <w:kern w:val="2"/>
          <w:sz w:val="24"/>
          <w:szCs w:val="24"/>
        </w:rPr>
        <w:t>负责、协作单位主要为交通运输部水运科学研究院、上海国际港务（集团）有限公司</w:t>
      </w:r>
      <w:r>
        <w:rPr>
          <w:rFonts w:hint="eastAsia" w:asciiTheme="minorEastAsia" w:hAnsiTheme="minorEastAsia" w:eastAsiaTheme="minorEastAsia"/>
          <w:kern w:val="2"/>
          <w:sz w:val="24"/>
          <w:szCs w:val="24"/>
          <w:lang w:eastAsia="zh-CN"/>
        </w:rPr>
        <w:t>、</w:t>
      </w:r>
      <w:r>
        <w:rPr>
          <w:rFonts w:hint="eastAsia" w:asciiTheme="minorEastAsia" w:hAnsiTheme="minorEastAsia" w:eastAsiaTheme="minorEastAsia"/>
          <w:kern w:val="2"/>
          <w:sz w:val="24"/>
          <w:szCs w:val="24"/>
          <w:lang w:val="en-US" w:eastAsia="zh-CN"/>
        </w:rPr>
        <w:t>武汉理工大学、福建金航国际货运代理有限公司、深圳中集智能科技有限公司</w:t>
      </w:r>
      <w:r>
        <w:rPr>
          <w:rFonts w:hint="eastAsia" w:asciiTheme="minorEastAsia" w:hAnsiTheme="minorEastAsia" w:eastAsiaTheme="minorEastAsia"/>
          <w:kern w:val="2"/>
          <w:sz w:val="24"/>
          <w:szCs w:val="24"/>
        </w:rPr>
        <w:t>等。</w:t>
      </w:r>
    </w:p>
    <w:p w14:paraId="649C8512">
      <w:pPr>
        <w:spacing w:line="360" w:lineRule="auto"/>
        <w:ind w:firstLine="480" w:firstLineChars="200"/>
        <w:jc w:val="left"/>
        <w:rPr>
          <w:rFonts w:asciiTheme="minorEastAsia" w:hAnsiTheme="minorEastAsia" w:eastAsiaTheme="minorEastAsia"/>
          <w:b/>
          <w:sz w:val="24"/>
        </w:rPr>
      </w:pPr>
      <w:r>
        <w:rPr>
          <w:rFonts w:hint="eastAsia" w:asciiTheme="minorEastAsia" w:hAnsiTheme="minorEastAsia" w:eastAsiaTheme="minorEastAsia"/>
          <w:b/>
          <w:sz w:val="24"/>
        </w:rPr>
        <w:t>（三）主要工作过程</w:t>
      </w:r>
    </w:p>
    <w:p w14:paraId="4860E157">
      <w:pPr>
        <w:spacing w:line="360" w:lineRule="auto"/>
        <w:ind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起草单位接到计划任务后，立即着手进行标准制定工作，主要工作过程如下：</w:t>
      </w:r>
    </w:p>
    <w:p w14:paraId="6989981E">
      <w:pPr>
        <w:tabs>
          <w:tab w:val="left" w:pos="3220"/>
        </w:tabs>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202</w:t>
      </w:r>
      <w:r>
        <w:rPr>
          <w:rFonts w:hint="eastAsia" w:asciiTheme="minorEastAsia" w:hAnsiTheme="minorEastAsia" w:eastAsiaTheme="minorEastAsia"/>
          <w:sz w:val="24"/>
          <w:lang w:val="en-US" w:eastAsia="zh-CN"/>
        </w:rPr>
        <w:t>1</w:t>
      </w:r>
      <w:r>
        <w:rPr>
          <w:rFonts w:hint="eastAsia" w:asciiTheme="minorEastAsia" w:hAnsiTheme="minorEastAsia" w:eastAsiaTheme="minorEastAsia"/>
          <w:sz w:val="24"/>
        </w:rPr>
        <w:t>年</w:t>
      </w:r>
      <w:r>
        <w:rPr>
          <w:rFonts w:hint="eastAsia" w:asciiTheme="minorEastAsia" w:hAnsiTheme="minorEastAsia" w:eastAsiaTheme="minorEastAsia"/>
          <w:sz w:val="24"/>
          <w:lang w:val="en-US" w:eastAsia="zh-CN"/>
        </w:rPr>
        <w:t>1</w:t>
      </w:r>
      <w:r>
        <w:rPr>
          <w:rFonts w:hint="eastAsia" w:asciiTheme="minorEastAsia" w:hAnsiTheme="minorEastAsia" w:eastAsiaTheme="minorEastAsia"/>
          <w:sz w:val="24"/>
        </w:rPr>
        <w:t>月，正式成立标准编制组，按照要求制定了标准编制计划。标准编制工作正式启动，由</w:t>
      </w:r>
      <w:r>
        <w:rPr>
          <w:rFonts w:hint="eastAsia" w:asciiTheme="minorEastAsia" w:hAnsiTheme="minorEastAsia" w:eastAsiaTheme="minorEastAsia"/>
          <w:kern w:val="2"/>
          <w:sz w:val="24"/>
          <w:szCs w:val="24"/>
        </w:rPr>
        <w:t>北京国电高科科技有限公司</w:t>
      </w:r>
      <w:r>
        <w:rPr>
          <w:rFonts w:hint="eastAsia" w:asciiTheme="minorEastAsia" w:hAnsiTheme="minorEastAsia" w:eastAsiaTheme="minorEastAsia"/>
          <w:sz w:val="24"/>
        </w:rPr>
        <w:t>牵头，相关单位作为编制组成员加入编制组。</w:t>
      </w:r>
    </w:p>
    <w:p w14:paraId="59F43E6D">
      <w:pPr>
        <w:tabs>
          <w:tab w:val="left" w:pos="3220"/>
        </w:tabs>
        <w:spacing w:line="360" w:lineRule="auto"/>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202</w:t>
      </w:r>
      <w:r>
        <w:rPr>
          <w:rFonts w:hint="eastAsia" w:asciiTheme="minorEastAsia" w:hAnsiTheme="minorEastAsia" w:eastAsiaTheme="minorEastAsia"/>
          <w:sz w:val="24"/>
          <w:lang w:val="en-US" w:eastAsia="zh-CN"/>
        </w:rPr>
        <w:t>1</w:t>
      </w:r>
      <w:r>
        <w:rPr>
          <w:rFonts w:hint="eastAsia" w:asciiTheme="minorEastAsia" w:hAnsiTheme="minorEastAsia" w:eastAsiaTheme="minorEastAsia"/>
          <w:sz w:val="24"/>
        </w:rPr>
        <w:t>年</w:t>
      </w:r>
      <w:r>
        <w:rPr>
          <w:rFonts w:hint="eastAsia" w:asciiTheme="minorEastAsia" w:hAnsiTheme="minorEastAsia" w:eastAsiaTheme="minorEastAsia"/>
          <w:sz w:val="24"/>
          <w:lang w:val="en-US" w:eastAsia="zh-CN"/>
        </w:rPr>
        <w:t>2</w:t>
      </w:r>
      <w:r>
        <w:rPr>
          <w:rFonts w:hint="eastAsia" w:asciiTheme="minorEastAsia" w:hAnsiTheme="minorEastAsia" w:eastAsiaTheme="minorEastAsia"/>
          <w:sz w:val="24"/>
        </w:rPr>
        <w:t>-</w:t>
      </w:r>
      <w:r>
        <w:rPr>
          <w:rFonts w:hint="eastAsia" w:asciiTheme="minorEastAsia" w:hAnsiTheme="minorEastAsia" w:eastAsiaTheme="minorEastAsia"/>
          <w:sz w:val="24"/>
          <w:lang w:val="en-US" w:eastAsia="zh-CN"/>
        </w:rPr>
        <w:t>4</w:t>
      </w:r>
      <w:r>
        <w:rPr>
          <w:rFonts w:hint="eastAsia" w:asciiTheme="minorEastAsia" w:hAnsiTheme="minorEastAsia" w:eastAsiaTheme="minorEastAsia"/>
          <w:sz w:val="24"/>
        </w:rPr>
        <w:t>月，标准编制组进行了充分调研，对</w:t>
      </w:r>
      <w:r>
        <w:rPr>
          <w:rFonts w:hint="eastAsia" w:asciiTheme="minorEastAsia" w:hAnsiTheme="minorEastAsia" w:eastAsiaTheme="minorEastAsia"/>
          <w:sz w:val="24"/>
          <w:lang w:val="en-US" w:eastAsia="zh-CN"/>
        </w:rPr>
        <w:t>卫星</w:t>
      </w:r>
      <w:r>
        <w:rPr>
          <w:rFonts w:hint="eastAsia" w:asciiTheme="minorEastAsia" w:hAnsiTheme="minorEastAsia" w:eastAsiaTheme="minorEastAsia"/>
          <w:sz w:val="24"/>
        </w:rPr>
        <w:t>终端技术进行了充分的统计和梳理，为标准的起草奠定了基础。</w:t>
      </w:r>
    </w:p>
    <w:p w14:paraId="6D02ACB0">
      <w:pPr>
        <w:tabs>
          <w:tab w:val="left" w:pos="3220"/>
        </w:tabs>
        <w:spacing w:line="360" w:lineRule="auto"/>
        <w:ind w:firstLine="480" w:firstLineChars="200"/>
        <w:rPr>
          <w:rFonts w:hint="default"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2021年5月，组织召开了研究大纲评审会，通过大纲评审，明确了标准编制的技术路线、标准框架结构。</w:t>
      </w:r>
    </w:p>
    <w:p w14:paraId="4A783C50">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202</w:t>
      </w:r>
      <w:r>
        <w:rPr>
          <w:rFonts w:hint="eastAsia" w:asciiTheme="minorEastAsia" w:hAnsiTheme="minorEastAsia" w:eastAsiaTheme="minorEastAsia"/>
          <w:sz w:val="24"/>
          <w:lang w:val="en-US" w:eastAsia="zh-CN"/>
        </w:rPr>
        <w:t>1</w:t>
      </w:r>
      <w:r>
        <w:rPr>
          <w:rFonts w:hint="eastAsia" w:asciiTheme="minorEastAsia" w:hAnsiTheme="minorEastAsia" w:eastAsiaTheme="minorEastAsia"/>
          <w:sz w:val="24"/>
        </w:rPr>
        <w:t>年</w:t>
      </w:r>
      <w:r>
        <w:rPr>
          <w:rFonts w:hint="eastAsia" w:asciiTheme="minorEastAsia" w:hAnsiTheme="minorEastAsia" w:eastAsiaTheme="minorEastAsia"/>
          <w:sz w:val="24"/>
          <w:lang w:val="en-US" w:eastAsia="zh-CN"/>
        </w:rPr>
        <w:t>6-</w:t>
      </w: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2</w:t>
      </w:r>
      <w:r>
        <w:rPr>
          <w:rFonts w:hint="eastAsia" w:asciiTheme="minorEastAsia" w:hAnsiTheme="minorEastAsia" w:eastAsiaTheme="minorEastAsia"/>
          <w:sz w:val="24"/>
        </w:rPr>
        <w:t>月，对标准资料进行了收集、整理及分析，收集了国内外相关的政策法规、标准及有关的技术资料，并进行了系统研究，完成了《集装箱</w:t>
      </w:r>
      <w:r>
        <w:rPr>
          <w:rFonts w:hint="eastAsia" w:asciiTheme="minorEastAsia" w:hAnsiTheme="minorEastAsia" w:eastAsiaTheme="minorEastAsia"/>
          <w:sz w:val="24"/>
          <w:lang w:val="en-US" w:eastAsia="zh-CN"/>
        </w:rPr>
        <w:t>卫星</w:t>
      </w:r>
      <w:r>
        <w:rPr>
          <w:rFonts w:hint="eastAsia" w:asciiTheme="minorEastAsia" w:hAnsiTheme="minorEastAsia" w:eastAsiaTheme="minorEastAsia"/>
          <w:sz w:val="24"/>
        </w:rPr>
        <w:t>终端技术规范》标准草案。</w:t>
      </w:r>
    </w:p>
    <w:p w14:paraId="14E0C910">
      <w:pPr>
        <w:tabs>
          <w:tab w:val="left" w:pos="3220"/>
        </w:tabs>
        <w:spacing w:line="360" w:lineRule="auto"/>
        <w:ind w:firstLine="480" w:firstLineChars="200"/>
        <w:rPr>
          <w:rFonts w:hint="eastAsia" w:asciiTheme="minorEastAsia" w:hAnsiTheme="minorEastAsia" w:eastAsiaTheme="minorEastAsia"/>
          <w:sz w:val="24"/>
          <w:lang w:val="en-US" w:eastAsia="zh-CN"/>
        </w:rPr>
      </w:pPr>
      <w:r>
        <w:rPr>
          <w:rFonts w:hint="eastAsia" w:asciiTheme="minorEastAsia" w:hAnsiTheme="minorEastAsia" w:eastAsiaTheme="minorEastAsia"/>
          <w:sz w:val="24"/>
        </w:rPr>
        <w:t>202</w:t>
      </w:r>
      <w:r>
        <w:rPr>
          <w:rFonts w:hint="eastAsia" w:asciiTheme="minorEastAsia" w:hAnsiTheme="minorEastAsia" w:eastAsiaTheme="minorEastAsia"/>
          <w:sz w:val="24"/>
          <w:lang w:val="en-US" w:eastAsia="zh-CN"/>
        </w:rPr>
        <w:t>2</w:t>
      </w:r>
      <w:r>
        <w:rPr>
          <w:rFonts w:hint="eastAsia" w:asciiTheme="minorEastAsia" w:hAnsiTheme="minorEastAsia" w:eastAsiaTheme="minorEastAsia"/>
          <w:sz w:val="24"/>
        </w:rPr>
        <w:t>年1-12月，编制组对相关技术指标进行了试验验证，确保标准技术内容的可靠性和科学性。</w:t>
      </w:r>
    </w:p>
    <w:p w14:paraId="59B66714">
      <w:pPr>
        <w:tabs>
          <w:tab w:val="left" w:pos="3220"/>
        </w:tabs>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202</w:t>
      </w:r>
      <w:r>
        <w:rPr>
          <w:rFonts w:hint="eastAsia" w:asciiTheme="minorEastAsia" w:hAnsiTheme="minorEastAsia" w:eastAsiaTheme="minorEastAsia"/>
          <w:sz w:val="24"/>
          <w:lang w:val="en-US" w:eastAsia="zh-CN"/>
        </w:rPr>
        <w:t>4</w:t>
      </w:r>
      <w:r>
        <w:rPr>
          <w:rFonts w:hint="eastAsia" w:asciiTheme="minorEastAsia" w:hAnsiTheme="minorEastAsia" w:eastAsiaTheme="minorEastAsia"/>
          <w:sz w:val="24"/>
        </w:rPr>
        <w:t>年1-</w:t>
      </w:r>
      <w:r>
        <w:rPr>
          <w:rFonts w:hint="eastAsia" w:asciiTheme="minorEastAsia" w:hAnsiTheme="minorEastAsia" w:eastAsiaTheme="minorEastAsia"/>
          <w:sz w:val="24"/>
          <w:lang w:val="en-US" w:eastAsia="zh-CN"/>
        </w:rPr>
        <w:t>12</w:t>
      </w:r>
      <w:r>
        <w:rPr>
          <w:rFonts w:hint="eastAsia" w:asciiTheme="minorEastAsia" w:hAnsiTheme="minorEastAsia" w:eastAsiaTheme="minorEastAsia"/>
          <w:sz w:val="24"/>
        </w:rPr>
        <w:t>月，编制组向行业内相关权威部门进行了咨询和征求意见，结合行业内专家的建议，完成了征求意见稿初稿。</w:t>
      </w:r>
    </w:p>
    <w:p w14:paraId="736E495C">
      <w:pPr>
        <w:tabs>
          <w:tab w:val="left" w:pos="3220"/>
        </w:tabs>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2024年</w:t>
      </w:r>
      <w:r>
        <w:rPr>
          <w:rFonts w:hint="eastAsia" w:asciiTheme="minorEastAsia" w:hAnsiTheme="minorEastAsia" w:eastAsiaTheme="minorEastAsia"/>
          <w:sz w:val="24"/>
          <w:lang w:val="en-US" w:eastAsia="zh-CN"/>
        </w:rPr>
        <w:t>1-6</w:t>
      </w:r>
      <w:r>
        <w:rPr>
          <w:rFonts w:hint="eastAsia" w:asciiTheme="minorEastAsia" w:hAnsiTheme="minorEastAsia" w:eastAsiaTheme="minorEastAsia"/>
          <w:sz w:val="24"/>
        </w:rPr>
        <w:t>月，组织召开标准编制工作会，对技术内容进行了详细研讨。会后编制组按照意见进行修改完善，形成新版的征求意见稿。</w:t>
      </w:r>
    </w:p>
    <w:p w14:paraId="29DBA586">
      <w:pPr>
        <w:tabs>
          <w:tab w:val="left" w:pos="3220"/>
        </w:tabs>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2024年</w:t>
      </w:r>
      <w:r>
        <w:rPr>
          <w:rFonts w:hint="eastAsia" w:asciiTheme="minorEastAsia" w:hAnsiTheme="minorEastAsia" w:eastAsiaTheme="minorEastAsia"/>
          <w:sz w:val="24"/>
          <w:lang w:val="en-US" w:eastAsia="zh-CN"/>
        </w:rPr>
        <w:t>7</w:t>
      </w:r>
      <w:r>
        <w:rPr>
          <w:rFonts w:hint="eastAsia" w:asciiTheme="minorEastAsia" w:hAnsiTheme="minorEastAsia" w:eastAsiaTheme="minorEastAsia"/>
          <w:sz w:val="24"/>
        </w:rPr>
        <w:t>月，</w:t>
      </w:r>
      <w:r>
        <w:rPr>
          <w:rFonts w:hint="eastAsia" w:asciiTheme="minorEastAsia" w:hAnsiTheme="minorEastAsia" w:eastAsiaTheme="minorEastAsia"/>
          <w:sz w:val="24"/>
          <w:lang w:val="en-US" w:eastAsia="zh-CN"/>
        </w:rPr>
        <w:t>标准编制组</w:t>
      </w:r>
      <w:r>
        <w:rPr>
          <w:rFonts w:hint="eastAsia" w:asciiTheme="minorEastAsia" w:hAnsiTheme="minorEastAsia" w:eastAsiaTheme="minorEastAsia"/>
          <w:sz w:val="24"/>
        </w:rPr>
        <w:t>提交</w:t>
      </w:r>
      <w:r>
        <w:rPr>
          <w:rFonts w:hint="eastAsia" w:asciiTheme="minorEastAsia" w:hAnsiTheme="minorEastAsia" w:eastAsiaTheme="minorEastAsia"/>
          <w:sz w:val="24"/>
          <w:lang w:val="en-US" w:eastAsia="zh-CN"/>
        </w:rPr>
        <w:t>中国港口协会</w:t>
      </w:r>
      <w:r>
        <w:rPr>
          <w:rFonts w:hint="eastAsia" w:asciiTheme="minorEastAsia" w:hAnsiTheme="minorEastAsia" w:eastAsiaTheme="minorEastAsia"/>
          <w:sz w:val="24"/>
        </w:rPr>
        <w:t>，申请征求意见。</w:t>
      </w:r>
    </w:p>
    <w:p w14:paraId="1635BAB7">
      <w:pPr>
        <w:spacing w:line="360" w:lineRule="auto"/>
        <w:ind w:firstLine="480" w:firstLineChars="200"/>
        <w:rPr>
          <w:rFonts w:asciiTheme="minorEastAsia" w:hAnsiTheme="minorEastAsia" w:eastAsiaTheme="minorEastAsia"/>
          <w:b/>
          <w:sz w:val="24"/>
        </w:rPr>
      </w:pPr>
      <w:r>
        <w:rPr>
          <w:rFonts w:hint="eastAsia" w:asciiTheme="minorEastAsia" w:hAnsiTheme="minorEastAsia" w:eastAsiaTheme="minorEastAsia"/>
          <w:b/>
          <w:sz w:val="24"/>
        </w:rPr>
        <w:t>（四）</w:t>
      </w:r>
      <w:r>
        <w:rPr>
          <w:rFonts w:asciiTheme="minorEastAsia" w:hAnsiTheme="minorEastAsia" w:eastAsiaTheme="minorEastAsia"/>
          <w:b/>
          <w:sz w:val="24"/>
        </w:rPr>
        <w:t>主要起草人及其所做的工作</w:t>
      </w:r>
    </w:p>
    <w:p w14:paraId="24D7716C">
      <w:pPr>
        <w:tabs>
          <w:tab w:val="left" w:pos="3220"/>
        </w:tabs>
        <w:spacing w:line="360" w:lineRule="auto"/>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本标准主要起草人为：吕强、李继春、姚青、马萍、郭中甲、陈智勇、刘志平、</w:t>
      </w:r>
      <w:r>
        <w:rPr>
          <w:rFonts w:hint="eastAsia" w:asciiTheme="minorEastAsia" w:hAnsiTheme="minorEastAsia" w:eastAsiaTheme="minorEastAsia"/>
          <w:sz w:val="24"/>
          <w:lang w:eastAsia="zh-CN"/>
        </w:rPr>
        <w:t>周受钦</w:t>
      </w:r>
      <w:r>
        <w:rPr>
          <w:rFonts w:hint="eastAsia" w:asciiTheme="minorEastAsia" w:hAnsiTheme="minorEastAsia" w:eastAsiaTheme="minorEastAsia"/>
          <w:sz w:val="24"/>
        </w:rPr>
        <w:t>。上述人员承担的主要工作如表1所示。</w:t>
      </w:r>
    </w:p>
    <w:p w14:paraId="11E7FA20">
      <w:pPr>
        <w:tabs>
          <w:tab w:val="left" w:pos="3220"/>
        </w:tabs>
        <w:spacing w:line="360" w:lineRule="auto"/>
        <w:ind w:firstLine="480" w:firstLineChars="200"/>
        <w:jc w:val="center"/>
        <w:rPr>
          <w:rFonts w:ascii="黑体" w:hAnsi="黑体" w:eastAsia="黑体"/>
          <w:sz w:val="24"/>
          <w:szCs w:val="28"/>
        </w:rPr>
      </w:pPr>
      <w:r>
        <w:rPr>
          <w:rFonts w:hint="eastAsia" w:ascii="黑体" w:hAnsi="黑体" w:eastAsia="黑体"/>
          <w:sz w:val="24"/>
          <w:szCs w:val="28"/>
        </w:rPr>
        <w:t>表1</w:t>
      </w:r>
      <w:r>
        <w:rPr>
          <w:rFonts w:ascii="黑体" w:hAnsi="黑体" w:eastAsia="黑体"/>
          <w:sz w:val="24"/>
          <w:szCs w:val="28"/>
        </w:rPr>
        <w:t xml:space="preserve"> </w:t>
      </w:r>
      <w:r>
        <w:rPr>
          <w:rFonts w:hint="eastAsia" w:ascii="黑体" w:hAnsi="黑体" w:eastAsia="黑体"/>
          <w:sz w:val="24"/>
          <w:szCs w:val="28"/>
        </w:rPr>
        <w:t>主要起草人所承担的工作</w:t>
      </w:r>
    </w:p>
    <w:tbl>
      <w:tblPr>
        <w:tblStyle w:val="14"/>
        <w:tblW w:w="8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1025"/>
        <w:gridCol w:w="3228"/>
        <w:gridCol w:w="3453"/>
      </w:tblGrid>
      <w:tr w14:paraId="47E23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7" w:hRule="atLeast"/>
          <w:tblHeader/>
        </w:trPr>
        <w:tc>
          <w:tcPr>
            <w:tcW w:w="817" w:type="dxa"/>
            <w:shd w:val="clear" w:color="auto" w:fill="auto"/>
            <w:vAlign w:val="center"/>
          </w:tcPr>
          <w:p w14:paraId="009A074B">
            <w:pPr>
              <w:tabs>
                <w:tab w:val="left" w:pos="3220"/>
              </w:tabs>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1025" w:type="dxa"/>
            <w:shd w:val="clear" w:color="auto" w:fill="auto"/>
            <w:vAlign w:val="center"/>
          </w:tcPr>
          <w:p w14:paraId="1F9D8C80">
            <w:pPr>
              <w:tabs>
                <w:tab w:val="left" w:pos="3220"/>
              </w:tabs>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姓名</w:t>
            </w:r>
          </w:p>
        </w:tc>
        <w:tc>
          <w:tcPr>
            <w:tcW w:w="3228" w:type="dxa"/>
            <w:shd w:val="clear" w:color="auto" w:fill="auto"/>
            <w:vAlign w:val="center"/>
          </w:tcPr>
          <w:p w14:paraId="344BB592">
            <w:pPr>
              <w:tabs>
                <w:tab w:val="left" w:pos="3220"/>
              </w:tabs>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单位</w:t>
            </w:r>
          </w:p>
        </w:tc>
        <w:tc>
          <w:tcPr>
            <w:tcW w:w="3453" w:type="dxa"/>
            <w:shd w:val="clear" w:color="auto" w:fill="auto"/>
            <w:vAlign w:val="center"/>
          </w:tcPr>
          <w:p w14:paraId="70CF1B40">
            <w:pPr>
              <w:tabs>
                <w:tab w:val="left" w:pos="3220"/>
              </w:tabs>
              <w:spacing w:before="180" w:after="180"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承担工作</w:t>
            </w:r>
          </w:p>
        </w:tc>
      </w:tr>
      <w:tr w14:paraId="5840B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trPr>
        <w:tc>
          <w:tcPr>
            <w:tcW w:w="817" w:type="dxa"/>
            <w:shd w:val="clear" w:color="auto" w:fill="auto"/>
            <w:vAlign w:val="center"/>
          </w:tcPr>
          <w:p w14:paraId="35E8B230">
            <w:pPr>
              <w:tabs>
                <w:tab w:val="left" w:pos="3220"/>
              </w:tabs>
              <w:spacing w:before="180" w:after="180" w:line="36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rPr>
              <w:t>1</w:t>
            </w:r>
          </w:p>
        </w:tc>
        <w:tc>
          <w:tcPr>
            <w:tcW w:w="1025" w:type="dxa"/>
            <w:shd w:val="clear" w:color="auto" w:fill="auto"/>
            <w:vAlign w:val="center"/>
          </w:tcPr>
          <w:p w14:paraId="135C9EE2">
            <w:pPr>
              <w:tabs>
                <w:tab w:val="left" w:pos="3220"/>
              </w:tabs>
              <w:spacing w:before="180" w:after="180" w:line="36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rPr>
              <w:t>吕强</w:t>
            </w:r>
          </w:p>
        </w:tc>
        <w:tc>
          <w:tcPr>
            <w:tcW w:w="3228" w:type="dxa"/>
            <w:shd w:val="clear" w:color="auto" w:fill="auto"/>
            <w:vAlign w:val="center"/>
          </w:tcPr>
          <w:p w14:paraId="3B860DAD">
            <w:pPr>
              <w:tabs>
                <w:tab w:val="left" w:pos="3220"/>
              </w:tabs>
              <w:spacing w:before="180" w:after="180" w:line="36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rPr>
              <w:t>北京国电高科科技有限公司</w:t>
            </w:r>
          </w:p>
        </w:tc>
        <w:tc>
          <w:tcPr>
            <w:tcW w:w="3453" w:type="dxa"/>
            <w:shd w:val="clear" w:color="auto" w:fill="auto"/>
            <w:vAlign w:val="center"/>
          </w:tcPr>
          <w:p w14:paraId="45388614">
            <w:pPr>
              <w:tabs>
                <w:tab w:val="left" w:pos="3220"/>
              </w:tabs>
              <w:spacing w:before="180" w:after="180" w:line="36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rPr>
              <w:t>项目负责人，标准第一执笔人。组织、协调标准的编写工作。总体负责标准第四章、第六章、第</w:t>
            </w:r>
            <w:r>
              <w:rPr>
                <w:rFonts w:hint="eastAsia" w:asciiTheme="minorEastAsia" w:hAnsiTheme="minorEastAsia" w:eastAsiaTheme="minorEastAsia"/>
                <w:szCs w:val="21"/>
                <w:lang w:val="en-US" w:eastAsia="zh-CN"/>
              </w:rPr>
              <w:t>七</w:t>
            </w:r>
            <w:r>
              <w:rPr>
                <w:rFonts w:hint="eastAsia" w:asciiTheme="minorEastAsia" w:hAnsiTheme="minorEastAsia" w:eastAsiaTheme="minorEastAsia"/>
                <w:szCs w:val="21"/>
              </w:rPr>
              <w:t>章的编制。</w:t>
            </w:r>
          </w:p>
        </w:tc>
      </w:tr>
      <w:tr w14:paraId="70424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shd w:val="clear" w:color="auto" w:fill="auto"/>
            <w:vAlign w:val="center"/>
          </w:tcPr>
          <w:p w14:paraId="3EDBCDF6">
            <w:pPr>
              <w:tabs>
                <w:tab w:val="left" w:pos="3220"/>
              </w:tabs>
              <w:spacing w:before="180" w:after="180" w:line="36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rPr>
              <w:t>2</w:t>
            </w:r>
          </w:p>
        </w:tc>
        <w:tc>
          <w:tcPr>
            <w:tcW w:w="1025" w:type="dxa"/>
            <w:shd w:val="clear" w:color="auto" w:fill="auto"/>
            <w:vAlign w:val="center"/>
          </w:tcPr>
          <w:p w14:paraId="3C0522D8">
            <w:pPr>
              <w:tabs>
                <w:tab w:val="left" w:pos="3220"/>
              </w:tabs>
              <w:spacing w:before="180" w:after="180" w:line="36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rPr>
              <w:t>李继春</w:t>
            </w:r>
          </w:p>
        </w:tc>
        <w:tc>
          <w:tcPr>
            <w:tcW w:w="3228" w:type="dxa"/>
            <w:shd w:val="clear" w:color="auto" w:fill="auto"/>
            <w:vAlign w:val="center"/>
          </w:tcPr>
          <w:p w14:paraId="0943377B">
            <w:pPr>
              <w:tabs>
                <w:tab w:val="left" w:pos="3220"/>
              </w:tabs>
              <w:spacing w:before="180" w:after="180" w:line="36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rPr>
              <w:t>交通运输部水运科学研究所</w:t>
            </w:r>
          </w:p>
        </w:tc>
        <w:tc>
          <w:tcPr>
            <w:tcW w:w="3453" w:type="dxa"/>
            <w:shd w:val="clear" w:color="auto" w:fill="auto"/>
            <w:vAlign w:val="center"/>
          </w:tcPr>
          <w:p w14:paraId="6E053A3F">
            <w:pPr>
              <w:tabs>
                <w:tab w:val="left" w:pos="3220"/>
              </w:tabs>
              <w:spacing w:before="180" w:after="180" w:line="36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项目协调人，</w:t>
            </w:r>
            <w:r>
              <w:rPr>
                <w:rFonts w:hint="eastAsia" w:asciiTheme="minorEastAsia" w:hAnsiTheme="minorEastAsia" w:eastAsiaTheme="minorEastAsia"/>
                <w:szCs w:val="21"/>
              </w:rPr>
              <w:t>参与标准的组织协调工作及标准技术内容，负责标准第</w:t>
            </w:r>
            <w:r>
              <w:rPr>
                <w:rFonts w:hint="eastAsia" w:asciiTheme="minorEastAsia" w:hAnsiTheme="minorEastAsia" w:eastAsiaTheme="minorEastAsia"/>
                <w:szCs w:val="21"/>
                <w:lang w:val="en-US" w:eastAsia="zh-CN"/>
              </w:rPr>
              <w:t>五、六、七、八</w:t>
            </w:r>
            <w:r>
              <w:rPr>
                <w:rFonts w:hint="eastAsia" w:asciiTheme="minorEastAsia" w:hAnsiTheme="minorEastAsia" w:eastAsiaTheme="minorEastAsia"/>
                <w:szCs w:val="21"/>
              </w:rPr>
              <w:t>章的编制。</w:t>
            </w:r>
          </w:p>
        </w:tc>
      </w:tr>
      <w:tr w14:paraId="6595F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817" w:type="dxa"/>
            <w:shd w:val="clear" w:color="auto" w:fill="auto"/>
            <w:vAlign w:val="center"/>
          </w:tcPr>
          <w:p w14:paraId="1B269451">
            <w:pPr>
              <w:tabs>
                <w:tab w:val="left" w:pos="3220"/>
              </w:tabs>
              <w:spacing w:before="180" w:after="180" w:line="36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rPr>
              <w:t>3</w:t>
            </w:r>
          </w:p>
        </w:tc>
        <w:tc>
          <w:tcPr>
            <w:tcW w:w="1025" w:type="dxa"/>
            <w:shd w:val="clear" w:color="auto" w:fill="auto"/>
            <w:vAlign w:val="center"/>
          </w:tcPr>
          <w:p w14:paraId="4BB4CC40">
            <w:pPr>
              <w:tabs>
                <w:tab w:val="left" w:pos="3220"/>
              </w:tabs>
              <w:spacing w:before="180" w:after="180" w:line="36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rPr>
              <w:t>姚青</w:t>
            </w:r>
          </w:p>
        </w:tc>
        <w:tc>
          <w:tcPr>
            <w:tcW w:w="3228" w:type="dxa"/>
            <w:shd w:val="clear" w:color="auto" w:fill="auto"/>
            <w:vAlign w:val="center"/>
          </w:tcPr>
          <w:p w14:paraId="09226789">
            <w:pPr>
              <w:tabs>
                <w:tab w:val="left" w:pos="3220"/>
              </w:tabs>
              <w:spacing w:before="180" w:after="180" w:line="36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rPr>
              <w:t>上海国际港务（集团）有限公司</w:t>
            </w:r>
          </w:p>
        </w:tc>
        <w:tc>
          <w:tcPr>
            <w:tcW w:w="3453" w:type="dxa"/>
            <w:shd w:val="clear" w:color="auto" w:fill="auto"/>
            <w:vAlign w:val="center"/>
          </w:tcPr>
          <w:p w14:paraId="2A5975B7">
            <w:pPr>
              <w:tabs>
                <w:tab w:val="left" w:pos="3220"/>
              </w:tabs>
              <w:spacing w:before="180" w:after="180" w:line="36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rPr>
              <w:t>参与标准的调研、编写、技术论证。主要负责标准第</w:t>
            </w:r>
            <w:r>
              <w:rPr>
                <w:rFonts w:hint="eastAsia" w:asciiTheme="minorEastAsia" w:hAnsiTheme="minorEastAsia" w:eastAsiaTheme="minorEastAsia"/>
                <w:szCs w:val="21"/>
                <w:lang w:val="en-US" w:eastAsia="zh-CN"/>
              </w:rPr>
              <w:t>六</w:t>
            </w:r>
            <w:r>
              <w:rPr>
                <w:rFonts w:hint="eastAsia" w:asciiTheme="minorEastAsia" w:hAnsiTheme="minorEastAsia" w:eastAsiaTheme="minorEastAsia"/>
                <w:szCs w:val="21"/>
              </w:rPr>
              <w:t>章的编制工作。</w:t>
            </w:r>
          </w:p>
        </w:tc>
      </w:tr>
      <w:tr w14:paraId="2DB5D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817" w:type="dxa"/>
            <w:shd w:val="clear" w:color="auto" w:fill="auto"/>
            <w:vAlign w:val="center"/>
          </w:tcPr>
          <w:p w14:paraId="69F545C5">
            <w:pPr>
              <w:tabs>
                <w:tab w:val="left" w:pos="3220"/>
              </w:tabs>
              <w:spacing w:before="180" w:after="180" w:line="36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rPr>
              <w:t>4</w:t>
            </w:r>
          </w:p>
        </w:tc>
        <w:tc>
          <w:tcPr>
            <w:tcW w:w="1025" w:type="dxa"/>
            <w:shd w:val="clear" w:color="auto" w:fill="auto"/>
            <w:vAlign w:val="center"/>
          </w:tcPr>
          <w:p w14:paraId="5A0EF9E8">
            <w:pPr>
              <w:tabs>
                <w:tab w:val="left" w:pos="3220"/>
              </w:tabs>
              <w:spacing w:before="180" w:after="180" w:line="36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rPr>
              <w:t>马萍</w:t>
            </w:r>
          </w:p>
        </w:tc>
        <w:tc>
          <w:tcPr>
            <w:tcW w:w="3228" w:type="dxa"/>
            <w:shd w:val="clear" w:color="auto" w:fill="auto"/>
            <w:vAlign w:val="center"/>
          </w:tcPr>
          <w:p w14:paraId="43CB069F">
            <w:pPr>
              <w:tabs>
                <w:tab w:val="left" w:pos="3220"/>
              </w:tabs>
              <w:spacing w:before="180" w:after="180" w:line="36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rPr>
              <w:t>北京国电高科科技有限公司</w:t>
            </w:r>
          </w:p>
        </w:tc>
        <w:tc>
          <w:tcPr>
            <w:tcW w:w="3453" w:type="dxa"/>
            <w:shd w:val="clear" w:color="auto" w:fill="auto"/>
            <w:vAlign w:val="center"/>
          </w:tcPr>
          <w:p w14:paraId="6456AC59">
            <w:pPr>
              <w:tabs>
                <w:tab w:val="left" w:pos="3220"/>
              </w:tabs>
              <w:spacing w:before="180" w:after="180" w:line="36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rPr>
              <w:t>参与标准的调研、编写、技术论证。主要负责标准第五章、第六章的编制工作。</w:t>
            </w:r>
          </w:p>
        </w:tc>
      </w:tr>
      <w:tr w14:paraId="467DC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817" w:type="dxa"/>
            <w:shd w:val="clear" w:color="auto" w:fill="auto"/>
            <w:vAlign w:val="center"/>
          </w:tcPr>
          <w:p w14:paraId="2A1A3C7A">
            <w:pPr>
              <w:tabs>
                <w:tab w:val="left" w:pos="3220"/>
              </w:tabs>
              <w:spacing w:before="180" w:after="180" w:line="36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rPr>
              <w:t>5</w:t>
            </w:r>
          </w:p>
        </w:tc>
        <w:tc>
          <w:tcPr>
            <w:tcW w:w="1025" w:type="dxa"/>
            <w:shd w:val="clear" w:color="auto" w:fill="auto"/>
            <w:vAlign w:val="center"/>
          </w:tcPr>
          <w:p w14:paraId="00E71E10">
            <w:pPr>
              <w:tabs>
                <w:tab w:val="left" w:pos="3220"/>
              </w:tabs>
              <w:spacing w:before="180" w:after="180" w:line="36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rPr>
              <w:t>马萍</w:t>
            </w:r>
          </w:p>
        </w:tc>
        <w:tc>
          <w:tcPr>
            <w:tcW w:w="3228" w:type="dxa"/>
            <w:shd w:val="clear" w:color="auto" w:fill="auto"/>
            <w:vAlign w:val="center"/>
          </w:tcPr>
          <w:p w14:paraId="37027FCE">
            <w:pPr>
              <w:tabs>
                <w:tab w:val="left" w:pos="3220"/>
              </w:tabs>
              <w:spacing w:before="180" w:after="180" w:line="36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rPr>
              <w:t>北京国电高科科技有限公司</w:t>
            </w:r>
          </w:p>
        </w:tc>
        <w:tc>
          <w:tcPr>
            <w:tcW w:w="3453" w:type="dxa"/>
            <w:shd w:val="clear" w:color="auto" w:fill="auto"/>
            <w:vAlign w:val="center"/>
          </w:tcPr>
          <w:p w14:paraId="3BC92441">
            <w:pPr>
              <w:tabs>
                <w:tab w:val="left" w:pos="3220"/>
              </w:tabs>
              <w:spacing w:before="180" w:after="180" w:line="36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rPr>
              <w:t>参与标准的调研、编写、技术论证。主要负责标准第</w:t>
            </w:r>
            <w:r>
              <w:rPr>
                <w:rFonts w:hint="eastAsia" w:asciiTheme="minorEastAsia" w:hAnsiTheme="minorEastAsia" w:eastAsiaTheme="minorEastAsia"/>
                <w:szCs w:val="21"/>
                <w:lang w:val="en-US" w:eastAsia="zh-CN"/>
              </w:rPr>
              <w:t>六</w:t>
            </w:r>
            <w:r>
              <w:rPr>
                <w:rFonts w:hint="eastAsia" w:asciiTheme="minorEastAsia" w:hAnsiTheme="minorEastAsia" w:eastAsiaTheme="minorEastAsia"/>
                <w:szCs w:val="21"/>
              </w:rPr>
              <w:t>章的编制工作。</w:t>
            </w:r>
          </w:p>
        </w:tc>
      </w:tr>
      <w:tr w14:paraId="7BD4E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817" w:type="dxa"/>
            <w:shd w:val="clear" w:color="auto" w:fill="auto"/>
            <w:vAlign w:val="center"/>
          </w:tcPr>
          <w:p w14:paraId="58160E09">
            <w:pPr>
              <w:tabs>
                <w:tab w:val="left" w:pos="3220"/>
              </w:tabs>
              <w:spacing w:before="180" w:after="180" w:line="36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rPr>
              <w:t>6</w:t>
            </w:r>
          </w:p>
        </w:tc>
        <w:tc>
          <w:tcPr>
            <w:tcW w:w="1025" w:type="dxa"/>
            <w:shd w:val="clear" w:color="auto" w:fill="auto"/>
            <w:vAlign w:val="center"/>
          </w:tcPr>
          <w:p w14:paraId="1461964D">
            <w:pPr>
              <w:tabs>
                <w:tab w:val="left" w:pos="3220"/>
              </w:tabs>
              <w:spacing w:before="180" w:after="180" w:line="360" w:lineRule="exact"/>
              <w:jc w:val="left"/>
              <w:rPr>
                <w:rFonts w:hint="eastAsia" w:asciiTheme="minorEastAsia" w:hAnsiTheme="minorEastAsia" w:eastAsiaTheme="minorEastAsia"/>
                <w:szCs w:val="21"/>
              </w:rPr>
            </w:pPr>
            <w:r>
              <w:rPr>
                <w:rFonts w:hint="eastAsia" w:asciiTheme="minorEastAsia" w:hAnsiTheme="minorEastAsia" w:eastAsiaTheme="minorEastAsia"/>
                <w:sz w:val="24"/>
              </w:rPr>
              <w:t>陈智勇</w:t>
            </w:r>
          </w:p>
        </w:tc>
        <w:tc>
          <w:tcPr>
            <w:tcW w:w="3228" w:type="dxa"/>
            <w:shd w:val="clear" w:color="auto" w:fill="auto"/>
            <w:vAlign w:val="center"/>
          </w:tcPr>
          <w:p w14:paraId="3BDDEEB0">
            <w:pPr>
              <w:tabs>
                <w:tab w:val="left" w:pos="3220"/>
              </w:tabs>
              <w:spacing w:before="180" w:after="180" w:line="36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福建金航国际货运代理有限公司</w:t>
            </w:r>
          </w:p>
        </w:tc>
        <w:tc>
          <w:tcPr>
            <w:tcW w:w="3453" w:type="dxa"/>
            <w:shd w:val="clear" w:color="auto" w:fill="auto"/>
            <w:vAlign w:val="center"/>
          </w:tcPr>
          <w:p w14:paraId="4B70D4B2">
            <w:pPr>
              <w:tabs>
                <w:tab w:val="left" w:pos="3220"/>
              </w:tabs>
              <w:spacing w:before="180" w:after="180" w:line="36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rPr>
              <w:t>参与标准的调研、编写、技术论证。主要负责标准第</w:t>
            </w:r>
            <w:r>
              <w:rPr>
                <w:rFonts w:hint="eastAsia" w:asciiTheme="minorEastAsia" w:hAnsiTheme="minorEastAsia" w:eastAsiaTheme="minorEastAsia"/>
                <w:szCs w:val="21"/>
                <w:lang w:val="en-US" w:eastAsia="zh-CN"/>
              </w:rPr>
              <w:t>五</w:t>
            </w:r>
            <w:r>
              <w:rPr>
                <w:rFonts w:hint="eastAsia" w:asciiTheme="minorEastAsia" w:hAnsiTheme="minorEastAsia" w:eastAsiaTheme="minorEastAsia"/>
                <w:szCs w:val="21"/>
              </w:rPr>
              <w:t>、</w:t>
            </w:r>
            <w:r>
              <w:rPr>
                <w:rFonts w:hint="eastAsia" w:asciiTheme="minorEastAsia" w:hAnsiTheme="minorEastAsia" w:eastAsiaTheme="minorEastAsia"/>
                <w:szCs w:val="21"/>
                <w:lang w:val="en-US" w:eastAsia="zh-CN"/>
              </w:rPr>
              <w:t>六</w:t>
            </w:r>
            <w:r>
              <w:rPr>
                <w:rFonts w:hint="eastAsia" w:asciiTheme="minorEastAsia" w:hAnsiTheme="minorEastAsia" w:eastAsiaTheme="minorEastAsia"/>
                <w:szCs w:val="21"/>
              </w:rPr>
              <w:t>章的编制工作。</w:t>
            </w:r>
          </w:p>
        </w:tc>
      </w:tr>
      <w:tr w14:paraId="7A667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817" w:type="dxa"/>
            <w:shd w:val="clear" w:color="auto" w:fill="auto"/>
            <w:vAlign w:val="center"/>
          </w:tcPr>
          <w:p w14:paraId="1A9B87AF">
            <w:pPr>
              <w:tabs>
                <w:tab w:val="left" w:pos="3220"/>
              </w:tabs>
              <w:spacing w:before="180" w:after="180" w:line="36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rPr>
              <w:t>7</w:t>
            </w:r>
          </w:p>
        </w:tc>
        <w:tc>
          <w:tcPr>
            <w:tcW w:w="1025" w:type="dxa"/>
            <w:shd w:val="clear" w:color="auto" w:fill="auto"/>
            <w:vAlign w:val="center"/>
          </w:tcPr>
          <w:p w14:paraId="039C47A3">
            <w:pPr>
              <w:tabs>
                <w:tab w:val="left" w:pos="3220"/>
              </w:tabs>
              <w:spacing w:before="180" w:after="180" w:line="360" w:lineRule="exact"/>
              <w:jc w:val="left"/>
              <w:rPr>
                <w:rFonts w:hint="eastAsia" w:asciiTheme="minorEastAsia" w:hAnsiTheme="minorEastAsia" w:eastAsiaTheme="minorEastAsia"/>
                <w:szCs w:val="21"/>
              </w:rPr>
            </w:pPr>
            <w:r>
              <w:rPr>
                <w:rFonts w:hint="eastAsia" w:asciiTheme="minorEastAsia" w:hAnsiTheme="minorEastAsia" w:eastAsiaTheme="minorEastAsia"/>
                <w:sz w:val="24"/>
              </w:rPr>
              <w:t>刘志平</w:t>
            </w:r>
          </w:p>
        </w:tc>
        <w:tc>
          <w:tcPr>
            <w:tcW w:w="3228" w:type="dxa"/>
            <w:shd w:val="clear" w:color="auto" w:fill="auto"/>
            <w:vAlign w:val="center"/>
          </w:tcPr>
          <w:p w14:paraId="08413E89">
            <w:pPr>
              <w:tabs>
                <w:tab w:val="left" w:pos="3220"/>
              </w:tabs>
              <w:spacing w:before="180" w:after="180" w:line="36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武汉理工大学</w:t>
            </w:r>
          </w:p>
        </w:tc>
        <w:tc>
          <w:tcPr>
            <w:tcW w:w="3453" w:type="dxa"/>
            <w:shd w:val="clear" w:color="auto" w:fill="auto"/>
            <w:vAlign w:val="center"/>
          </w:tcPr>
          <w:p w14:paraId="07211329">
            <w:pPr>
              <w:tabs>
                <w:tab w:val="left" w:pos="3220"/>
              </w:tabs>
              <w:spacing w:before="180" w:after="180" w:line="36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rPr>
              <w:t>参与标准的调研、编写、技术论证。参与标准第四</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五</w:t>
            </w:r>
            <w:r>
              <w:rPr>
                <w:rFonts w:hint="eastAsia" w:asciiTheme="minorEastAsia" w:hAnsiTheme="minorEastAsia" w:eastAsiaTheme="minorEastAsia"/>
                <w:szCs w:val="21"/>
              </w:rPr>
              <w:t>章的编制工作。</w:t>
            </w:r>
          </w:p>
        </w:tc>
      </w:tr>
      <w:tr w14:paraId="08F16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817" w:type="dxa"/>
            <w:shd w:val="clear" w:color="auto" w:fill="auto"/>
            <w:vAlign w:val="center"/>
          </w:tcPr>
          <w:p w14:paraId="4C331B86">
            <w:pPr>
              <w:tabs>
                <w:tab w:val="left" w:pos="3220"/>
              </w:tabs>
              <w:spacing w:before="180" w:after="180"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8</w:t>
            </w:r>
          </w:p>
        </w:tc>
        <w:tc>
          <w:tcPr>
            <w:tcW w:w="1025" w:type="dxa"/>
            <w:shd w:val="clear" w:color="auto" w:fill="auto"/>
            <w:vAlign w:val="center"/>
          </w:tcPr>
          <w:p w14:paraId="1C5193DF">
            <w:pPr>
              <w:tabs>
                <w:tab w:val="left" w:pos="3220"/>
              </w:tabs>
              <w:spacing w:before="180" w:after="180" w:line="360" w:lineRule="exact"/>
              <w:jc w:val="center"/>
              <w:rPr>
                <w:rFonts w:asciiTheme="minorEastAsia" w:hAnsiTheme="minorEastAsia" w:eastAsiaTheme="minorEastAsia"/>
                <w:szCs w:val="21"/>
              </w:rPr>
            </w:pPr>
            <w:r>
              <w:rPr>
                <w:rFonts w:hint="eastAsia" w:asciiTheme="minorEastAsia" w:hAnsiTheme="minorEastAsia" w:eastAsiaTheme="minorEastAsia"/>
                <w:sz w:val="24"/>
                <w:lang w:eastAsia="zh-CN"/>
              </w:rPr>
              <w:t>周受钦</w:t>
            </w:r>
          </w:p>
        </w:tc>
        <w:tc>
          <w:tcPr>
            <w:tcW w:w="3228" w:type="dxa"/>
            <w:shd w:val="clear" w:color="auto" w:fill="auto"/>
            <w:vAlign w:val="center"/>
          </w:tcPr>
          <w:p w14:paraId="3792C10F">
            <w:pPr>
              <w:tabs>
                <w:tab w:val="left" w:pos="3220"/>
              </w:tabs>
              <w:spacing w:before="180" w:after="180" w:line="360" w:lineRule="exact"/>
              <w:jc w:val="left"/>
              <w:rPr>
                <w:rFonts w:asciiTheme="minorEastAsia" w:hAnsiTheme="minorEastAsia" w:eastAsiaTheme="minorEastAsia"/>
                <w:szCs w:val="21"/>
              </w:rPr>
            </w:pPr>
            <w:r>
              <w:rPr>
                <w:rFonts w:hint="eastAsia" w:asciiTheme="minorEastAsia" w:hAnsiTheme="minorEastAsia" w:eastAsiaTheme="minorEastAsia"/>
                <w:szCs w:val="21"/>
                <w:lang w:val="en-US" w:eastAsia="zh-CN"/>
              </w:rPr>
              <w:t>深圳中集智能科技有限公司</w:t>
            </w:r>
          </w:p>
        </w:tc>
        <w:tc>
          <w:tcPr>
            <w:tcW w:w="3453" w:type="dxa"/>
            <w:shd w:val="clear" w:color="auto" w:fill="auto"/>
            <w:vAlign w:val="center"/>
          </w:tcPr>
          <w:p w14:paraId="62089E5F">
            <w:pPr>
              <w:tabs>
                <w:tab w:val="left" w:pos="3220"/>
              </w:tabs>
              <w:spacing w:before="180" w:after="180" w:line="360" w:lineRule="exact"/>
              <w:jc w:val="left"/>
              <w:rPr>
                <w:rFonts w:asciiTheme="minorEastAsia" w:hAnsiTheme="minorEastAsia" w:eastAsiaTheme="minorEastAsia"/>
                <w:szCs w:val="21"/>
              </w:rPr>
            </w:pPr>
            <w:r>
              <w:rPr>
                <w:rFonts w:hint="eastAsia" w:asciiTheme="minorEastAsia" w:hAnsiTheme="minorEastAsia" w:eastAsiaTheme="minorEastAsia"/>
                <w:szCs w:val="21"/>
              </w:rPr>
              <w:t>参与标准的调研、编写、技术论证。参与标准第五、六章的编制工作。</w:t>
            </w:r>
          </w:p>
        </w:tc>
      </w:tr>
    </w:tbl>
    <w:p w14:paraId="27079434">
      <w:pPr>
        <w:pStyle w:val="2"/>
        <w:spacing w:before="0" w:after="0" w:line="360" w:lineRule="auto"/>
        <w:ind w:firstLine="480" w:firstLineChars="200"/>
        <w:rPr>
          <w:rFonts w:asciiTheme="minorEastAsia" w:hAnsiTheme="minorEastAsia" w:eastAsiaTheme="minorEastAsia"/>
          <w:sz w:val="24"/>
          <w:szCs w:val="24"/>
        </w:rPr>
      </w:pPr>
    </w:p>
    <w:p w14:paraId="57B8ECAD">
      <w:pPr>
        <w:pStyle w:val="2"/>
        <w:spacing w:before="0" w:after="0" w:line="360" w:lineRule="auto"/>
        <w:ind w:firstLine="480" w:firstLineChars="200"/>
        <w:rPr>
          <w:rFonts w:asciiTheme="minorEastAsia" w:hAnsiTheme="minorEastAsia" w:eastAsiaTheme="minorEastAsia"/>
          <w:sz w:val="24"/>
          <w:szCs w:val="24"/>
        </w:rPr>
      </w:pPr>
      <w:bookmarkStart w:id="3" w:name="_Toc7661"/>
      <w:r>
        <w:rPr>
          <w:rFonts w:hint="eastAsia" w:asciiTheme="minorEastAsia" w:hAnsiTheme="minorEastAsia" w:eastAsiaTheme="minorEastAsia"/>
          <w:sz w:val="24"/>
          <w:szCs w:val="24"/>
        </w:rPr>
        <w:t>二、标准编制原则和确定标准主要内容的依据</w:t>
      </w:r>
      <w:bookmarkEnd w:id="3"/>
    </w:p>
    <w:p w14:paraId="3F7A8B51">
      <w:pPr>
        <w:spacing w:line="360" w:lineRule="auto"/>
        <w:ind w:firstLine="480" w:firstLineChars="200"/>
        <w:rPr>
          <w:rFonts w:asciiTheme="minorEastAsia" w:hAnsiTheme="minorEastAsia" w:eastAsiaTheme="minorEastAsia"/>
          <w:b/>
          <w:sz w:val="24"/>
        </w:rPr>
      </w:pPr>
      <w:r>
        <w:rPr>
          <w:rFonts w:hint="eastAsia" w:asciiTheme="minorEastAsia" w:hAnsiTheme="minorEastAsia" w:eastAsiaTheme="minorEastAsia"/>
          <w:b/>
          <w:sz w:val="24"/>
        </w:rPr>
        <w:t>（一）标准编制原则和依据</w:t>
      </w:r>
    </w:p>
    <w:p w14:paraId="27DF1BC0">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本标准的制定工作按下列原则和要求进行：</w:t>
      </w:r>
    </w:p>
    <w:p w14:paraId="67DEF76E">
      <w:pPr>
        <w:numPr>
          <w:ilvl w:val="0"/>
          <w:numId w:val="3"/>
        </w:numPr>
        <w:spacing w:line="360" w:lineRule="auto"/>
        <w:ind w:hanging="5"/>
        <w:rPr>
          <w:rFonts w:asciiTheme="minorEastAsia" w:hAnsiTheme="minorEastAsia" w:eastAsiaTheme="minorEastAsia"/>
          <w:b/>
          <w:bCs/>
          <w:sz w:val="24"/>
        </w:rPr>
      </w:pPr>
      <w:r>
        <w:rPr>
          <w:rFonts w:hint="eastAsia" w:asciiTheme="minorEastAsia" w:hAnsiTheme="minorEastAsia" w:eastAsiaTheme="minorEastAsia"/>
          <w:b/>
          <w:bCs/>
          <w:sz w:val="24"/>
        </w:rPr>
        <w:t xml:space="preserve">适用性 </w:t>
      </w:r>
    </w:p>
    <w:p w14:paraId="4317EA46">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在本标准编制前和编制过程中，编写团队进行了大量的调研和技术分析，从集装箱</w:t>
      </w:r>
      <w:r>
        <w:rPr>
          <w:rFonts w:hint="eastAsia" w:asciiTheme="minorEastAsia" w:hAnsiTheme="minorEastAsia" w:eastAsiaTheme="minorEastAsia"/>
          <w:sz w:val="24"/>
          <w:lang w:val="en-US" w:eastAsia="zh-CN"/>
        </w:rPr>
        <w:t>卫星终端</w:t>
      </w:r>
      <w:r>
        <w:rPr>
          <w:rFonts w:hint="eastAsia" w:asciiTheme="minorEastAsia" w:hAnsiTheme="minorEastAsia" w:eastAsiaTheme="minorEastAsia"/>
          <w:sz w:val="24"/>
        </w:rPr>
        <w:t>的实际使用人、承运人和货主的实际需求出发，广泛咨询了业内专家与相关从业人员，标准中的内容依据集装箱</w:t>
      </w:r>
      <w:r>
        <w:rPr>
          <w:rFonts w:hint="eastAsia" w:asciiTheme="minorEastAsia" w:hAnsiTheme="minorEastAsia" w:eastAsiaTheme="minorEastAsia"/>
          <w:sz w:val="24"/>
          <w:lang w:val="en-US" w:eastAsia="zh-CN"/>
        </w:rPr>
        <w:t>卫星终端</w:t>
      </w:r>
      <w:r>
        <w:rPr>
          <w:rFonts w:hint="eastAsia" w:asciiTheme="minorEastAsia" w:hAnsiTheme="minorEastAsia" w:eastAsiaTheme="minorEastAsia"/>
          <w:sz w:val="24"/>
        </w:rPr>
        <w:t>作业流程中对于</w:t>
      </w:r>
      <w:r>
        <w:rPr>
          <w:rFonts w:hint="eastAsia" w:asciiTheme="minorEastAsia" w:hAnsiTheme="minorEastAsia" w:eastAsiaTheme="minorEastAsia"/>
          <w:sz w:val="24"/>
          <w:lang w:val="en-US" w:eastAsia="zh-CN"/>
        </w:rPr>
        <w:t>卫星通讯</w:t>
      </w:r>
      <w:r>
        <w:rPr>
          <w:rFonts w:hint="eastAsia" w:asciiTheme="minorEastAsia" w:hAnsiTheme="minorEastAsia" w:eastAsiaTheme="minorEastAsia"/>
          <w:sz w:val="24"/>
        </w:rPr>
        <w:t xml:space="preserve">需具备的功能性及安全性等业务需求制定，保证了标准的适用性。 </w:t>
      </w:r>
    </w:p>
    <w:p w14:paraId="05215256">
      <w:pPr>
        <w:numPr>
          <w:ilvl w:val="0"/>
          <w:numId w:val="3"/>
        </w:numPr>
        <w:spacing w:line="360" w:lineRule="auto"/>
        <w:ind w:hanging="5"/>
        <w:rPr>
          <w:rFonts w:asciiTheme="minorEastAsia" w:hAnsiTheme="minorEastAsia" w:eastAsiaTheme="minorEastAsia"/>
          <w:b/>
          <w:bCs/>
          <w:sz w:val="24"/>
        </w:rPr>
      </w:pPr>
      <w:r>
        <w:rPr>
          <w:rFonts w:hint="eastAsia" w:asciiTheme="minorEastAsia" w:hAnsiTheme="minorEastAsia" w:eastAsiaTheme="minorEastAsia"/>
          <w:b/>
          <w:bCs/>
          <w:sz w:val="24"/>
        </w:rPr>
        <w:t xml:space="preserve">科学性 </w:t>
      </w:r>
    </w:p>
    <w:p w14:paraId="7974376C">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本标准技术内容结合了</w:t>
      </w:r>
      <w:r>
        <w:rPr>
          <w:rFonts w:hint="eastAsia" w:asciiTheme="minorEastAsia" w:hAnsiTheme="minorEastAsia" w:eastAsiaTheme="minorEastAsia"/>
          <w:kern w:val="2"/>
          <w:sz w:val="24"/>
          <w:szCs w:val="24"/>
        </w:rPr>
        <w:t>北京国电高科科技有限公司</w:t>
      </w:r>
      <w:r>
        <w:rPr>
          <w:rFonts w:hint="eastAsia" w:asciiTheme="minorEastAsia" w:hAnsiTheme="minorEastAsia" w:eastAsiaTheme="minorEastAsia"/>
          <w:kern w:val="2"/>
          <w:sz w:val="24"/>
          <w:szCs w:val="24"/>
          <w:lang w:eastAsia="zh-CN"/>
        </w:rPr>
        <w:t>、</w:t>
      </w:r>
      <w:r>
        <w:rPr>
          <w:rFonts w:hint="eastAsia" w:asciiTheme="minorEastAsia" w:hAnsiTheme="minorEastAsia" w:eastAsiaTheme="minorEastAsia"/>
          <w:sz w:val="24"/>
        </w:rPr>
        <w:t>中远海运集团、上海港一线作业企业在集装箱运输作业中积累的实际经验，在参考集装箱</w:t>
      </w:r>
      <w:r>
        <w:rPr>
          <w:rFonts w:hint="eastAsia" w:asciiTheme="minorEastAsia" w:hAnsiTheme="minorEastAsia" w:eastAsiaTheme="minorEastAsia"/>
          <w:sz w:val="24"/>
          <w:lang w:val="en-US" w:eastAsia="zh-CN"/>
        </w:rPr>
        <w:t>智能终端</w:t>
      </w:r>
      <w:r>
        <w:rPr>
          <w:rFonts w:hint="eastAsia" w:asciiTheme="minorEastAsia" w:hAnsiTheme="minorEastAsia" w:eastAsiaTheme="minorEastAsia"/>
          <w:sz w:val="24"/>
        </w:rPr>
        <w:t>现有相关标准和其他监控类电气设备标准的基础上，充分听取各方建议后编制而成的，标准力求内容准确、可操作。</w:t>
      </w:r>
    </w:p>
    <w:p w14:paraId="55F4928B">
      <w:pPr>
        <w:numPr>
          <w:ilvl w:val="0"/>
          <w:numId w:val="3"/>
        </w:numPr>
        <w:spacing w:line="360" w:lineRule="auto"/>
        <w:ind w:hanging="5"/>
        <w:rPr>
          <w:rFonts w:asciiTheme="minorEastAsia" w:hAnsiTheme="minorEastAsia" w:eastAsiaTheme="minorEastAsia"/>
          <w:b/>
          <w:bCs/>
          <w:sz w:val="24"/>
        </w:rPr>
      </w:pPr>
      <w:r>
        <w:rPr>
          <w:rFonts w:hint="eastAsia" w:asciiTheme="minorEastAsia" w:hAnsiTheme="minorEastAsia" w:eastAsiaTheme="minorEastAsia"/>
          <w:b/>
          <w:bCs/>
          <w:sz w:val="24"/>
        </w:rPr>
        <w:t xml:space="preserve">先进性 </w:t>
      </w:r>
    </w:p>
    <w:p w14:paraId="178D274C">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本标准参考了行业内较为主流的技术方案及数字化、物联网领域部分前沿技术的标准，满足新形势下集装箱</w:t>
      </w:r>
      <w:r>
        <w:rPr>
          <w:rFonts w:hint="eastAsia" w:asciiTheme="minorEastAsia" w:hAnsiTheme="minorEastAsia" w:eastAsiaTheme="minorEastAsia"/>
          <w:sz w:val="24"/>
          <w:lang w:val="en-US" w:eastAsia="zh-CN"/>
        </w:rPr>
        <w:t>卫星通讯</w:t>
      </w:r>
      <w:r>
        <w:rPr>
          <w:rFonts w:hint="eastAsia" w:asciiTheme="minorEastAsia" w:hAnsiTheme="minorEastAsia" w:eastAsiaTheme="minorEastAsia"/>
          <w:sz w:val="24"/>
        </w:rPr>
        <w:t>发展需求。同时，本标准的提出有助于填补</w:t>
      </w:r>
      <w:r>
        <w:rPr>
          <w:rFonts w:hint="eastAsia" w:asciiTheme="minorEastAsia" w:hAnsiTheme="minorEastAsia" w:eastAsiaTheme="minorEastAsia"/>
          <w:sz w:val="24"/>
          <w:lang w:val="en-US" w:eastAsia="zh-CN"/>
        </w:rPr>
        <w:t>集装箱窄带物联网</w:t>
      </w:r>
      <w:r>
        <w:rPr>
          <w:rFonts w:hint="eastAsia" w:asciiTheme="minorEastAsia" w:hAnsiTheme="minorEastAsia" w:eastAsiaTheme="minorEastAsia"/>
          <w:sz w:val="24"/>
        </w:rPr>
        <w:t>领域存在的标准空白，引导集装箱智能终端设备的开发应用，增强对集装箱</w:t>
      </w:r>
      <w:r>
        <w:rPr>
          <w:rFonts w:hint="eastAsia" w:asciiTheme="minorEastAsia" w:hAnsiTheme="minorEastAsia" w:eastAsiaTheme="minorEastAsia"/>
          <w:sz w:val="24"/>
          <w:lang w:val="en-US" w:eastAsia="zh-CN"/>
        </w:rPr>
        <w:t>运输</w:t>
      </w:r>
      <w:r>
        <w:rPr>
          <w:rFonts w:hint="eastAsia" w:asciiTheme="minorEastAsia" w:hAnsiTheme="minorEastAsia" w:eastAsiaTheme="minorEastAsia"/>
          <w:sz w:val="24"/>
        </w:rPr>
        <w:t>的全程管控能力，提高全球集装箱</w:t>
      </w:r>
      <w:r>
        <w:rPr>
          <w:rFonts w:hint="eastAsia" w:asciiTheme="minorEastAsia" w:hAnsiTheme="minorEastAsia" w:eastAsiaTheme="minorEastAsia"/>
          <w:sz w:val="24"/>
          <w:lang w:val="en-US" w:eastAsia="zh-CN"/>
        </w:rPr>
        <w:t>智慧</w:t>
      </w:r>
      <w:r>
        <w:rPr>
          <w:rFonts w:hint="eastAsia" w:asciiTheme="minorEastAsia" w:hAnsiTheme="minorEastAsia" w:eastAsiaTheme="minorEastAsia"/>
          <w:sz w:val="24"/>
        </w:rPr>
        <w:t>物流的服务水平。</w:t>
      </w:r>
    </w:p>
    <w:p w14:paraId="15309575">
      <w:pPr>
        <w:spacing w:line="360" w:lineRule="auto"/>
        <w:ind w:firstLine="480" w:firstLineChars="200"/>
        <w:rPr>
          <w:rFonts w:asciiTheme="minorEastAsia" w:hAnsiTheme="minorEastAsia" w:eastAsiaTheme="minorEastAsia"/>
          <w:b/>
          <w:sz w:val="24"/>
        </w:rPr>
      </w:pPr>
      <w:r>
        <w:rPr>
          <w:rFonts w:hint="eastAsia" w:asciiTheme="minorEastAsia" w:hAnsiTheme="minorEastAsia" w:eastAsiaTheme="minorEastAsia"/>
          <w:b/>
          <w:sz w:val="24"/>
        </w:rPr>
        <w:t>（二）确定标准主要内容的依据</w:t>
      </w:r>
    </w:p>
    <w:p w14:paraId="21674C62">
      <w:pPr>
        <w:pStyle w:val="41"/>
        <w:numPr>
          <w:ilvl w:val="0"/>
          <w:numId w:val="4"/>
        </w:numPr>
        <w:spacing w:line="360" w:lineRule="auto"/>
        <w:ind w:hanging="5"/>
        <w:rPr>
          <w:rFonts w:asciiTheme="minorEastAsia" w:hAnsiTheme="minorEastAsia" w:eastAsiaTheme="minorEastAsia"/>
          <w:b/>
          <w:color w:val="auto"/>
          <w:kern w:val="2"/>
        </w:rPr>
      </w:pPr>
      <w:r>
        <w:rPr>
          <w:rFonts w:hint="eastAsia" w:asciiTheme="minorEastAsia" w:hAnsiTheme="minorEastAsia" w:eastAsiaTheme="minorEastAsia"/>
          <w:b/>
          <w:color w:val="auto"/>
          <w:kern w:val="2"/>
        </w:rPr>
        <w:t>范围</w:t>
      </w:r>
    </w:p>
    <w:p w14:paraId="26EC9996">
      <w:pPr>
        <w:pStyle w:val="41"/>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heme="minorEastAsia" w:hAnsiTheme="minorEastAsia" w:eastAsiaTheme="minorEastAsia"/>
        </w:rPr>
      </w:pPr>
      <w:r>
        <w:rPr>
          <w:rFonts w:hint="eastAsia" w:asciiTheme="minorEastAsia" w:hAnsiTheme="minorEastAsia" w:eastAsiaTheme="minorEastAsia"/>
        </w:rPr>
        <w:t>本文件规定了集装箱低轨卫星通讯终端（以下简称：卫星终端）构成</w:t>
      </w:r>
      <w:r>
        <w:rPr>
          <w:rFonts w:hint="eastAsia" w:asciiTheme="minorEastAsia" w:hAnsiTheme="minorEastAsia" w:eastAsiaTheme="minorEastAsia"/>
          <w:lang w:val="en-US" w:eastAsia="zh-CN"/>
        </w:rPr>
        <w:t>与分类</w:t>
      </w:r>
      <w:r>
        <w:rPr>
          <w:rFonts w:hint="eastAsia" w:asciiTheme="minorEastAsia" w:hAnsiTheme="minorEastAsia" w:eastAsiaTheme="minorEastAsia"/>
        </w:rPr>
        <w:t>、</w:t>
      </w:r>
      <w:r>
        <w:rPr>
          <w:rFonts w:hint="eastAsia" w:asciiTheme="minorEastAsia" w:hAnsiTheme="minorEastAsia" w:eastAsiaTheme="minorEastAsia"/>
          <w:lang w:eastAsia="zh-CN"/>
        </w:rPr>
        <w:t>技术</w:t>
      </w:r>
      <w:r>
        <w:rPr>
          <w:rFonts w:hint="eastAsia" w:asciiTheme="minorEastAsia" w:hAnsiTheme="minorEastAsia" w:eastAsiaTheme="minorEastAsia"/>
        </w:rPr>
        <w:t>要求、安全管理、标识和标记。</w:t>
      </w:r>
    </w:p>
    <w:p w14:paraId="3DEC003B">
      <w:pPr>
        <w:pStyle w:val="41"/>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heme="minorEastAsia" w:hAnsiTheme="minorEastAsia" w:eastAsiaTheme="minorEastAsia"/>
        </w:rPr>
      </w:pPr>
      <w:r>
        <w:rPr>
          <w:rFonts w:hint="eastAsia" w:asciiTheme="minorEastAsia" w:hAnsiTheme="minorEastAsia" w:eastAsiaTheme="minorEastAsia"/>
        </w:rPr>
        <w:t>本文件适用于集装箱低轨卫星通讯终端的设计、开发、生产、检验以及系统应用。</w:t>
      </w:r>
    </w:p>
    <w:p w14:paraId="5AABF36D">
      <w:pPr>
        <w:pStyle w:val="41"/>
        <w:numPr>
          <w:ilvl w:val="0"/>
          <w:numId w:val="4"/>
        </w:numPr>
        <w:spacing w:line="360" w:lineRule="auto"/>
        <w:ind w:hanging="5"/>
        <w:rPr>
          <w:rFonts w:asciiTheme="minorEastAsia" w:hAnsiTheme="minorEastAsia" w:eastAsiaTheme="minorEastAsia"/>
          <w:b/>
          <w:color w:val="auto"/>
          <w:kern w:val="2"/>
        </w:rPr>
      </w:pPr>
      <w:r>
        <w:rPr>
          <w:rFonts w:hint="eastAsia" w:asciiTheme="minorEastAsia" w:hAnsiTheme="minorEastAsia" w:eastAsiaTheme="minorEastAsia"/>
          <w:b/>
          <w:color w:val="auto"/>
          <w:kern w:val="2"/>
        </w:rPr>
        <w:t>规范性引用文件</w:t>
      </w:r>
    </w:p>
    <w:p w14:paraId="4B42E881">
      <w:pPr>
        <w:pStyle w:val="41"/>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asciiTheme="minorEastAsia" w:hAnsiTheme="minorEastAsia" w:eastAsiaTheme="minorEastAsia"/>
        </w:rPr>
      </w:pPr>
      <w:r>
        <w:rPr>
          <w:rFonts w:hint="eastAsia" w:asciiTheme="minorEastAsia" w:hAnsiTheme="minorEastAsia" w:eastAsiaTheme="minorEastAsia"/>
        </w:rPr>
        <w:t>从规范本标准的术语以及引用作为本标准的技术条款要求角度，引用了以</w:t>
      </w:r>
    </w:p>
    <w:p w14:paraId="337FD148">
      <w:pPr>
        <w:pStyle w:val="41"/>
        <w:spacing w:line="360" w:lineRule="auto"/>
        <w:rPr>
          <w:rFonts w:asciiTheme="minorEastAsia" w:hAnsiTheme="minorEastAsia" w:eastAsiaTheme="minorEastAsia"/>
        </w:rPr>
      </w:pPr>
      <w:r>
        <w:rPr>
          <w:rFonts w:hint="eastAsia" w:asciiTheme="minorEastAsia" w:hAnsiTheme="minorEastAsia" w:eastAsiaTheme="minorEastAsia"/>
        </w:rPr>
        <w:t>下标准：</w:t>
      </w:r>
    </w:p>
    <w:p w14:paraId="208B9743">
      <w:pPr>
        <w:pStyle w:val="41"/>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heme="minorEastAsia" w:hAnsiTheme="minorEastAsia" w:eastAsiaTheme="minorEastAsia"/>
        </w:rPr>
      </w:pPr>
      <w:bookmarkStart w:id="4" w:name="_Hlk71953214"/>
      <w:r>
        <w:rPr>
          <w:rFonts w:hint="eastAsia" w:asciiTheme="minorEastAsia" w:hAnsiTheme="minorEastAsia" w:eastAsiaTheme="minorEastAsia"/>
        </w:rPr>
        <w:t xml:space="preserve">GB/T 15296 可搬移式卫星通信地球站设备通用技术条件 </w:t>
      </w:r>
    </w:p>
    <w:p w14:paraId="263697B2">
      <w:pPr>
        <w:pStyle w:val="41"/>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heme="minorEastAsia" w:hAnsiTheme="minorEastAsia" w:eastAsiaTheme="minorEastAsia"/>
        </w:rPr>
      </w:pPr>
      <w:r>
        <w:rPr>
          <w:rFonts w:hint="eastAsia" w:asciiTheme="minorEastAsia" w:hAnsiTheme="minorEastAsia" w:eastAsiaTheme="minorEastAsia"/>
        </w:rPr>
        <w:t xml:space="preserve">GB/T 2423.2 电工电子产品环境试验 第2部分：试验方法 试验 B： 高温 </w:t>
      </w:r>
    </w:p>
    <w:p w14:paraId="17663D8A">
      <w:pPr>
        <w:pStyle w:val="41"/>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heme="minorEastAsia" w:hAnsiTheme="minorEastAsia" w:eastAsiaTheme="minorEastAsia"/>
        </w:rPr>
      </w:pPr>
      <w:r>
        <w:rPr>
          <w:rFonts w:hint="eastAsia" w:asciiTheme="minorEastAsia" w:hAnsiTheme="minorEastAsia" w:eastAsiaTheme="minorEastAsia"/>
        </w:rPr>
        <w:t xml:space="preserve">GB/T 2423.1 电工电子产品环境试验 第2部分：试验方法 试验 A： 低温 </w:t>
      </w:r>
    </w:p>
    <w:p w14:paraId="4853A19D">
      <w:pPr>
        <w:pStyle w:val="41"/>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heme="minorEastAsia" w:hAnsiTheme="minorEastAsia" w:eastAsiaTheme="minorEastAsia"/>
        </w:rPr>
      </w:pPr>
      <w:r>
        <w:rPr>
          <w:rFonts w:hint="eastAsia" w:asciiTheme="minorEastAsia" w:hAnsiTheme="minorEastAsia" w:eastAsiaTheme="minorEastAsia"/>
        </w:rPr>
        <w:t>GB/T 2423.3 电工电子产品环境试验 第2部分：试验方法 试验 Cab：恒定湿热方法</w:t>
      </w:r>
    </w:p>
    <w:p w14:paraId="4B6BCCA4">
      <w:pPr>
        <w:pStyle w:val="41"/>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heme="minorEastAsia" w:hAnsiTheme="minorEastAsia" w:eastAsiaTheme="minorEastAsia"/>
        </w:rPr>
      </w:pPr>
      <w:r>
        <w:rPr>
          <w:rFonts w:hint="eastAsia" w:asciiTheme="minorEastAsia" w:hAnsiTheme="minorEastAsia" w:eastAsiaTheme="minorEastAsia"/>
        </w:rPr>
        <w:t>GB/T 2423.5 电工电子产品环境试验 第2部分：试验方法 试验 Ea和导则：冲击</w:t>
      </w:r>
    </w:p>
    <w:p w14:paraId="019689CC">
      <w:pPr>
        <w:pStyle w:val="41"/>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heme="minorEastAsia" w:hAnsiTheme="minorEastAsia" w:eastAsiaTheme="minorEastAsia"/>
        </w:rPr>
      </w:pPr>
      <w:r>
        <w:rPr>
          <w:rFonts w:hint="eastAsia" w:asciiTheme="minorEastAsia" w:hAnsiTheme="minorEastAsia" w:eastAsiaTheme="minorEastAsia"/>
        </w:rPr>
        <w:t>GB/T 2423.10 电工电子产品环境试验 第2部分：试验方法 试验 Fc：振动（正弦）</w:t>
      </w:r>
    </w:p>
    <w:p w14:paraId="0730FEE6">
      <w:pPr>
        <w:pStyle w:val="41"/>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heme="minorEastAsia" w:hAnsiTheme="minorEastAsia" w:eastAsiaTheme="minorEastAsia"/>
        </w:rPr>
      </w:pPr>
      <w:r>
        <w:rPr>
          <w:rFonts w:hint="eastAsia" w:asciiTheme="minorEastAsia" w:hAnsiTheme="minorEastAsia" w:eastAsiaTheme="minorEastAsia"/>
        </w:rPr>
        <w:t>GB/T 2423.17 电工电子产品环境试验 第2部分：试验方法 试验 Ka：盐雾</w:t>
      </w:r>
    </w:p>
    <w:bookmarkEnd w:id="4"/>
    <w:p w14:paraId="43FD8AE2">
      <w:pPr>
        <w:pStyle w:val="41"/>
        <w:numPr>
          <w:ilvl w:val="0"/>
          <w:numId w:val="4"/>
        </w:numPr>
        <w:spacing w:line="360" w:lineRule="auto"/>
        <w:ind w:hanging="5"/>
        <w:rPr>
          <w:rFonts w:asciiTheme="minorEastAsia" w:hAnsiTheme="minorEastAsia" w:eastAsiaTheme="minorEastAsia"/>
          <w:b/>
          <w:color w:val="auto"/>
          <w:kern w:val="2"/>
        </w:rPr>
      </w:pPr>
      <w:r>
        <w:rPr>
          <w:rFonts w:hint="eastAsia" w:asciiTheme="minorEastAsia" w:hAnsiTheme="minorEastAsia" w:eastAsiaTheme="minorEastAsia"/>
          <w:b/>
          <w:color w:val="auto"/>
          <w:kern w:val="2"/>
        </w:rPr>
        <w:t>术语和定义</w:t>
      </w:r>
    </w:p>
    <w:p w14:paraId="7A5B84A2">
      <w:pPr>
        <w:pStyle w:val="41"/>
        <w:spacing w:line="360" w:lineRule="auto"/>
        <w:ind w:firstLine="481"/>
        <w:rPr>
          <w:rFonts w:hint="eastAsia" w:asciiTheme="minorEastAsia" w:hAnsiTheme="minorEastAsia" w:eastAsiaTheme="minorEastAsia"/>
        </w:rPr>
      </w:pPr>
      <w:r>
        <w:rPr>
          <w:rFonts w:hint="eastAsia" w:asciiTheme="minorEastAsia" w:hAnsiTheme="minorEastAsia" w:eastAsiaTheme="minorEastAsia"/>
        </w:rPr>
        <w:t>给出了适用于本标准的术语和定义。依据集装箱</w:t>
      </w:r>
      <w:r>
        <w:rPr>
          <w:rFonts w:hint="eastAsia" w:asciiTheme="minorEastAsia" w:hAnsiTheme="minorEastAsia" w:eastAsiaTheme="minorEastAsia"/>
          <w:lang w:val="en-US" w:eastAsia="zh-CN"/>
        </w:rPr>
        <w:t>卫星</w:t>
      </w:r>
      <w:r>
        <w:rPr>
          <w:rFonts w:hint="eastAsia" w:asciiTheme="minorEastAsia" w:hAnsiTheme="minorEastAsia" w:eastAsiaTheme="minorEastAsia"/>
        </w:rPr>
        <w:t xml:space="preserve">终端的性能和功能，按照术语定义的编写要求，对“集装箱低轨道卫星通讯终端 </w:t>
      </w:r>
      <w:r>
        <w:rPr>
          <w:rFonts w:hint="eastAsia" w:asciiTheme="minorEastAsia" w:hAnsiTheme="minorEastAsia" w:eastAsiaTheme="minorEastAsia"/>
        </w:rPr>
        <w:t>”</w:t>
      </w:r>
      <w:r>
        <w:rPr>
          <w:rFonts w:hint="eastAsia" w:asciiTheme="minorEastAsia" w:hAnsiTheme="minorEastAsia" w:eastAsiaTheme="minorEastAsia"/>
          <w:lang w:eastAsia="zh-CN"/>
        </w:rPr>
        <w:t>“</w:t>
      </w:r>
      <w:r>
        <w:rPr>
          <w:rFonts w:hint="eastAsia" w:asciiTheme="minorEastAsia" w:hAnsiTheme="minorEastAsia" w:eastAsiaTheme="minorEastAsia"/>
        </w:rPr>
        <w:t>卫星通讯模组</w:t>
      </w:r>
      <w:r>
        <w:rPr>
          <w:rFonts w:hint="eastAsia" w:asciiTheme="minorEastAsia" w:hAnsiTheme="minorEastAsia" w:eastAsiaTheme="minorEastAsia"/>
          <w:lang w:eastAsia="zh-CN"/>
        </w:rPr>
        <w:t>”</w:t>
      </w:r>
      <w:r>
        <w:rPr>
          <w:rFonts w:hint="eastAsia" w:asciiTheme="minorEastAsia" w:hAnsiTheme="minorEastAsia" w:eastAsiaTheme="minorEastAsia"/>
        </w:rPr>
        <w:t>术语进行了定义。</w:t>
      </w:r>
    </w:p>
    <w:p w14:paraId="048D0CD8">
      <w:pPr>
        <w:pStyle w:val="41"/>
        <w:numPr>
          <w:ilvl w:val="0"/>
          <w:numId w:val="4"/>
        </w:numPr>
        <w:spacing w:line="360" w:lineRule="auto"/>
        <w:ind w:hanging="5"/>
        <w:rPr>
          <w:rFonts w:asciiTheme="minorEastAsia" w:hAnsiTheme="minorEastAsia" w:eastAsiaTheme="minorEastAsia"/>
          <w:b/>
          <w:color w:val="auto"/>
          <w:kern w:val="2"/>
        </w:rPr>
      </w:pPr>
      <w:r>
        <w:rPr>
          <w:rFonts w:hint="eastAsia" w:asciiTheme="minorEastAsia" w:hAnsiTheme="minorEastAsia" w:eastAsiaTheme="minorEastAsia"/>
          <w:b/>
          <w:color w:val="auto"/>
          <w:kern w:val="2"/>
          <w:lang w:val="en-US" w:eastAsia="zh-CN"/>
        </w:rPr>
        <w:t>缩略语</w:t>
      </w:r>
    </w:p>
    <w:p w14:paraId="40A046B4">
      <w:pPr>
        <w:pStyle w:val="41"/>
        <w:spacing w:line="360" w:lineRule="auto"/>
        <w:ind w:firstLine="481"/>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为便于标准的使用，给出了如下缩略语：</w:t>
      </w:r>
    </w:p>
    <w:p w14:paraId="6FBE0ECF">
      <w:pPr>
        <w:pStyle w:val="41"/>
        <w:spacing w:line="360" w:lineRule="auto"/>
        <w:ind w:firstLine="481"/>
        <w:rPr>
          <w:rFonts w:hint="eastAsia" w:asciiTheme="minorEastAsia" w:hAnsiTheme="minorEastAsia" w:eastAsiaTheme="minorEastAsia"/>
        </w:rPr>
      </w:pPr>
      <w:r>
        <w:rPr>
          <w:rFonts w:hint="eastAsia" w:asciiTheme="minorEastAsia" w:hAnsiTheme="minorEastAsia" w:eastAsiaTheme="minorEastAsia"/>
        </w:rPr>
        <w:t>DCS：采集系统（Data Collection System）</w:t>
      </w:r>
    </w:p>
    <w:p w14:paraId="694B04FF">
      <w:pPr>
        <w:pStyle w:val="41"/>
        <w:spacing w:line="360" w:lineRule="auto"/>
        <w:ind w:firstLine="481"/>
        <w:rPr>
          <w:rFonts w:hint="eastAsia" w:asciiTheme="minorEastAsia" w:hAnsiTheme="minorEastAsia" w:eastAsiaTheme="minorEastAsia"/>
        </w:rPr>
      </w:pPr>
      <w:r>
        <w:rPr>
          <w:rFonts w:hint="eastAsia" w:asciiTheme="minorEastAsia" w:hAnsiTheme="minorEastAsia" w:eastAsiaTheme="minorEastAsia"/>
        </w:rPr>
        <w:t>SC-DCS：天基数据综合采集系统（Space-born Comprehensive Data Collection System）</w:t>
      </w:r>
    </w:p>
    <w:p w14:paraId="7E0B96C1">
      <w:pPr>
        <w:pStyle w:val="41"/>
        <w:spacing w:line="360" w:lineRule="auto"/>
        <w:ind w:firstLine="481"/>
        <w:rPr>
          <w:rFonts w:hint="eastAsia" w:asciiTheme="minorEastAsia" w:hAnsiTheme="minorEastAsia" w:eastAsiaTheme="minorEastAsia"/>
        </w:rPr>
      </w:pPr>
      <w:r>
        <w:rPr>
          <w:rFonts w:hint="eastAsia" w:asciiTheme="minorEastAsia" w:hAnsiTheme="minorEastAsia" w:eastAsiaTheme="minorEastAsia"/>
        </w:rPr>
        <w:t>CDMA：码分多址（Code Division Multiple Access）</w:t>
      </w:r>
    </w:p>
    <w:p w14:paraId="1DA36E70">
      <w:pPr>
        <w:pStyle w:val="41"/>
        <w:spacing w:line="360" w:lineRule="auto"/>
        <w:ind w:firstLine="481"/>
        <w:rPr>
          <w:rFonts w:hint="eastAsia" w:asciiTheme="minorEastAsia" w:hAnsiTheme="minorEastAsia" w:eastAsiaTheme="minorEastAsia"/>
        </w:rPr>
      </w:pPr>
      <w:r>
        <w:rPr>
          <w:rFonts w:hint="eastAsia" w:asciiTheme="minorEastAsia" w:hAnsiTheme="minorEastAsia" w:eastAsiaTheme="minorEastAsia"/>
        </w:rPr>
        <w:t>TDMA：时分多址（Time Division Multiple Access）</w:t>
      </w:r>
    </w:p>
    <w:p w14:paraId="21D09023">
      <w:pPr>
        <w:pStyle w:val="41"/>
        <w:spacing w:line="360" w:lineRule="auto"/>
        <w:ind w:firstLine="481"/>
        <w:rPr>
          <w:rFonts w:hint="eastAsia" w:asciiTheme="minorEastAsia" w:hAnsiTheme="minorEastAsia" w:eastAsiaTheme="minorEastAsia"/>
        </w:rPr>
      </w:pPr>
      <w:r>
        <w:rPr>
          <w:rFonts w:hint="eastAsia" w:asciiTheme="minorEastAsia" w:hAnsiTheme="minorEastAsia" w:eastAsiaTheme="minorEastAsia"/>
        </w:rPr>
        <w:t>FDMA：频分多址（Frequency Division Multiple Access）</w:t>
      </w:r>
    </w:p>
    <w:p w14:paraId="59365333">
      <w:pPr>
        <w:pStyle w:val="41"/>
        <w:spacing w:line="360" w:lineRule="auto"/>
        <w:ind w:firstLine="481"/>
        <w:rPr>
          <w:rFonts w:hint="eastAsia" w:asciiTheme="minorEastAsia" w:hAnsiTheme="minorEastAsia" w:eastAsiaTheme="minorEastAsia"/>
        </w:rPr>
      </w:pPr>
      <w:r>
        <w:rPr>
          <w:rFonts w:hint="eastAsia" w:asciiTheme="minorEastAsia" w:hAnsiTheme="minorEastAsia" w:eastAsiaTheme="minorEastAsia"/>
        </w:rPr>
        <w:t>SDMA：空分多址（Space Division Multiple Access）</w:t>
      </w:r>
    </w:p>
    <w:p w14:paraId="1422A61E">
      <w:pPr>
        <w:pStyle w:val="41"/>
        <w:spacing w:line="360" w:lineRule="auto"/>
        <w:ind w:firstLine="481"/>
        <w:rPr>
          <w:rFonts w:hint="eastAsia" w:asciiTheme="minorEastAsia" w:hAnsiTheme="minorEastAsia" w:eastAsiaTheme="minorEastAsia"/>
        </w:rPr>
      </w:pPr>
      <w:r>
        <w:rPr>
          <w:rFonts w:hint="eastAsia" w:asciiTheme="minorEastAsia" w:hAnsiTheme="minorEastAsia" w:eastAsiaTheme="minorEastAsia"/>
        </w:rPr>
        <w:t>MAC：介质访问控制子层协议（Media Access Control）</w:t>
      </w:r>
    </w:p>
    <w:p w14:paraId="104B9788">
      <w:pPr>
        <w:pStyle w:val="41"/>
        <w:spacing w:line="360" w:lineRule="auto"/>
        <w:ind w:firstLine="481"/>
        <w:rPr>
          <w:rFonts w:hint="eastAsia" w:asciiTheme="minorEastAsia" w:hAnsiTheme="minorEastAsia" w:eastAsiaTheme="minorEastAsia"/>
        </w:rPr>
      </w:pPr>
      <w:r>
        <w:rPr>
          <w:rFonts w:hint="eastAsia" w:asciiTheme="minorEastAsia" w:hAnsiTheme="minorEastAsia" w:eastAsiaTheme="minorEastAsia"/>
        </w:rPr>
        <w:t>BPSK：二进制相移键控（Binary Phase Shift Keying）</w:t>
      </w:r>
    </w:p>
    <w:p w14:paraId="3F00EC96">
      <w:pPr>
        <w:pStyle w:val="41"/>
        <w:spacing w:line="360" w:lineRule="auto"/>
        <w:ind w:firstLine="481"/>
        <w:rPr>
          <w:rFonts w:hint="eastAsia" w:asciiTheme="minorEastAsia" w:hAnsiTheme="minorEastAsia" w:eastAsiaTheme="minorEastAsia"/>
        </w:rPr>
      </w:pPr>
      <w:r>
        <w:rPr>
          <w:rFonts w:hint="eastAsia" w:asciiTheme="minorEastAsia" w:hAnsiTheme="minorEastAsia" w:eastAsiaTheme="minorEastAsia"/>
        </w:rPr>
        <w:t>CCSDS：国际空间数据系统咨询委员会（Consultative Committee for Space Data System）</w:t>
      </w:r>
    </w:p>
    <w:p w14:paraId="21810877">
      <w:pPr>
        <w:pStyle w:val="41"/>
        <w:spacing w:line="360" w:lineRule="auto"/>
        <w:ind w:firstLine="481"/>
        <w:rPr>
          <w:rFonts w:hint="eastAsia" w:asciiTheme="minorEastAsia" w:hAnsiTheme="minorEastAsia" w:eastAsiaTheme="minorEastAsia"/>
        </w:rPr>
      </w:pPr>
      <w:r>
        <w:rPr>
          <w:rFonts w:hint="eastAsia" w:asciiTheme="minorEastAsia" w:hAnsiTheme="minorEastAsia" w:eastAsiaTheme="minorEastAsia"/>
        </w:rPr>
        <w:t>PCM：脉冲编码调制（Pulse Code Modulation）</w:t>
      </w:r>
    </w:p>
    <w:p w14:paraId="02291ECE">
      <w:pPr>
        <w:pStyle w:val="41"/>
        <w:numPr>
          <w:ilvl w:val="0"/>
          <w:numId w:val="4"/>
        </w:numPr>
        <w:spacing w:line="360" w:lineRule="auto"/>
        <w:ind w:hanging="5"/>
        <w:rPr>
          <w:rFonts w:hint="default" w:asciiTheme="minorEastAsia" w:hAnsiTheme="minorEastAsia" w:eastAsiaTheme="minorEastAsia"/>
          <w:b/>
          <w:color w:val="auto"/>
          <w:kern w:val="2"/>
          <w:lang w:val="en-US" w:eastAsia="zh-CN"/>
        </w:rPr>
      </w:pPr>
      <w:r>
        <w:rPr>
          <w:rFonts w:hint="eastAsia" w:asciiTheme="minorEastAsia" w:hAnsiTheme="minorEastAsia" w:eastAsiaTheme="minorEastAsia"/>
          <w:b/>
          <w:color w:val="auto"/>
          <w:kern w:val="2"/>
          <w:lang w:val="en-US" w:eastAsia="zh-CN"/>
        </w:rPr>
        <w:t>构成与分类</w:t>
      </w:r>
    </w:p>
    <w:p w14:paraId="27637002">
      <w:pPr>
        <w:pStyle w:val="41"/>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5.1 给出了卫星终端构成，界定了卫星终端由卫星通讯模组和传感器组成。卫星通信模组由天线、射频模块、基带模块、存储模块、控制模块、接口模块等一体化设计成型。根据应用场景选择集成温湿度、加速度等传感器。卫星终端通过协议接入低轨道卫星网络。</w:t>
      </w:r>
    </w:p>
    <w:p w14:paraId="71A3FD23">
      <w:pPr>
        <w:pStyle w:val="41"/>
        <w:spacing w:line="360" w:lineRule="auto"/>
        <w:ind w:firstLine="481"/>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5.2 根据卫星终端功能和安装位置不同，卫星终端分为通用集装箱卫星终端、保温集装箱卫星终端、罐式集装箱卫星终端、无压干散货集装箱卫星终端、台架集装箱卫星终端。</w:t>
      </w:r>
    </w:p>
    <w:p w14:paraId="49F6FB22">
      <w:pPr>
        <w:pStyle w:val="41"/>
        <w:numPr>
          <w:ilvl w:val="0"/>
          <w:numId w:val="4"/>
        </w:numPr>
        <w:spacing w:line="360" w:lineRule="auto"/>
        <w:ind w:hanging="5"/>
        <w:rPr>
          <w:rFonts w:hint="default" w:asciiTheme="minorEastAsia" w:hAnsiTheme="minorEastAsia" w:eastAsiaTheme="minorEastAsia"/>
          <w:b/>
          <w:color w:val="auto"/>
          <w:kern w:val="2"/>
          <w:lang w:val="en-US" w:eastAsia="zh-CN"/>
        </w:rPr>
      </w:pPr>
      <w:r>
        <w:rPr>
          <w:rFonts w:hint="eastAsia" w:asciiTheme="minorEastAsia" w:hAnsiTheme="minorEastAsia" w:eastAsiaTheme="minorEastAsia"/>
          <w:b/>
          <w:color w:val="auto"/>
          <w:kern w:val="2"/>
          <w:lang w:val="en-US" w:eastAsia="zh-CN"/>
        </w:rPr>
        <w:t>技术要求</w:t>
      </w:r>
    </w:p>
    <w:p w14:paraId="31B51F25">
      <w:pPr>
        <w:pStyle w:val="41"/>
        <w:spacing w:line="360" w:lineRule="auto"/>
        <w:ind w:firstLine="481"/>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规定了卫星终端一般要求、性能要求、数据格式、理化性能、电磁性能等具体技术要求。</w:t>
      </w:r>
    </w:p>
    <w:p w14:paraId="711973FF">
      <w:pPr>
        <w:pStyle w:val="41"/>
        <w:spacing w:line="360" w:lineRule="auto"/>
        <w:ind w:firstLine="481"/>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6.1一般要求</w:t>
      </w:r>
    </w:p>
    <w:p w14:paraId="58CCA6E7">
      <w:pPr>
        <w:pStyle w:val="41"/>
        <w:spacing w:line="360" w:lineRule="auto"/>
        <w:ind w:firstLine="481"/>
        <w:rPr>
          <w:rFonts w:hint="default" w:asciiTheme="minorEastAsia" w:hAnsiTheme="minorEastAsia" w:eastAsiaTheme="minorEastAsia"/>
          <w:lang w:val="en-US" w:eastAsia="zh-CN"/>
        </w:rPr>
      </w:pPr>
      <w:r>
        <w:rPr>
          <w:rFonts w:hint="eastAsia" w:asciiTheme="minorEastAsia" w:hAnsiTheme="minorEastAsia" w:eastAsiaTheme="minorEastAsia"/>
          <w:lang w:val="en-US" w:eastAsia="zh-CN"/>
        </w:rPr>
        <w:t>6.2尺寸要求</w:t>
      </w:r>
    </w:p>
    <w:p w14:paraId="268F451C">
      <w:pPr>
        <w:pStyle w:val="41"/>
        <w:spacing w:line="360" w:lineRule="auto"/>
        <w:ind w:firstLine="481"/>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6.3性能要求</w:t>
      </w:r>
    </w:p>
    <w:p w14:paraId="03322315">
      <w:pPr>
        <w:pStyle w:val="41"/>
        <w:spacing w:line="360" w:lineRule="auto"/>
        <w:ind w:firstLine="481"/>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6.4数据格式</w:t>
      </w:r>
    </w:p>
    <w:p w14:paraId="66FEAD00">
      <w:pPr>
        <w:pStyle w:val="41"/>
        <w:spacing w:line="360" w:lineRule="auto"/>
        <w:ind w:firstLine="481"/>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6.5理化性能</w:t>
      </w:r>
    </w:p>
    <w:p w14:paraId="0A4D64F6">
      <w:pPr>
        <w:pStyle w:val="41"/>
        <w:spacing w:line="360" w:lineRule="auto"/>
        <w:ind w:firstLine="481"/>
        <w:rPr>
          <w:rFonts w:hint="default" w:asciiTheme="minorEastAsia" w:hAnsiTheme="minorEastAsia" w:eastAsiaTheme="minorEastAsia"/>
          <w:lang w:val="en-US" w:eastAsia="zh-CN"/>
        </w:rPr>
      </w:pPr>
      <w:r>
        <w:rPr>
          <w:rFonts w:hint="eastAsia" w:asciiTheme="minorEastAsia" w:hAnsiTheme="minorEastAsia" w:eastAsiaTheme="minorEastAsia"/>
          <w:lang w:val="en-US" w:eastAsia="zh-CN"/>
        </w:rPr>
        <w:t>6.6电磁性能</w:t>
      </w:r>
    </w:p>
    <w:p w14:paraId="3708B406">
      <w:pPr>
        <w:pStyle w:val="41"/>
        <w:numPr>
          <w:ilvl w:val="0"/>
          <w:numId w:val="4"/>
        </w:numPr>
        <w:spacing w:line="360" w:lineRule="auto"/>
        <w:ind w:hanging="5"/>
        <w:rPr>
          <w:rFonts w:hint="eastAsia" w:asciiTheme="minorEastAsia" w:hAnsiTheme="minorEastAsia" w:eastAsiaTheme="minorEastAsia"/>
          <w:b/>
          <w:color w:val="auto"/>
          <w:kern w:val="2"/>
          <w:lang w:val="en-US" w:eastAsia="zh-CN"/>
        </w:rPr>
      </w:pPr>
      <w:r>
        <w:rPr>
          <w:rFonts w:hint="eastAsia" w:asciiTheme="minorEastAsia" w:hAnsiTheme="minorEastAsia" w:eastAsiaTheme="minorEastAsia"/>
          <w:b/>
          <w:color w:val="auto"/>
          <w:kern w:val="2"/>
          <w:lang w:val="en-US" w:eastAsia="zh-CN"/>
        </w:rPr>
        <w:t>信息安全管理要求</w:t>
      </w:r>
    </w:p>
    <w:p w14:paraId="7D7BA996">
      <w:pPr>
        <w:pStyle w:val="43"/>
        <w:ind w:firstLine="420"/>
        <w:rPr>
          <w:rFonts w:hint="eastAsia" w:asciiTheme="minorEastAsia" w:hAnsiTheme="minorEastAsia" w:eastAsiaTheme="minorEastAsia"/>
          <w:b/>
          <w:color w:val="auto"/>
          <w:kern w:val="2"/>
          <w:lang w:val="en-US" w:eastAsia="zh-CN"/>
        </w:rPr>
      </w:pPr>
      <w:r>
        <w:rPr>
          <w:rFonts w:hint="eastAsia"/>
          <w:lang w:val="en-US" w:eastAsia="zh-CN"/>
        </w:rPr>
        <w:t>规定了</w:t>
      </w:r>
      <w:r>
        <w:rPr>
          <w:rFonts w:hint="eastAsia"/>
        </w:rPr>
        <w:t>卫星终端与卫星、服务中心进行卫星通信网络连接，需要实施单向或双向空中接口认证，并与服务中心进行单向或双向的服务接口认证。</w:t>
      </w:r>
      <w:r>
        <w:rPr>
          <w:rFonts w:hint="eastAsia"/>
          <w:lang w:val="en-US" w:eastAsia="zh-CN"/>
        </w:rPr>
        <w:t>界定了用户注册、身份识别、数据加密相关要求。</w:t>
      </w:r>
    </w:p>
    <w:p w14:paraId="2DF49EA1">
      <w:pPr>
        <w:pStyle w:val="41"/>
        <w:numPr>
          <w:ilvl w:val="0"/>
          <w:numId w:val="4"/>
        </w:numPr>
        <w:spacing w:line="360" w:lineRule="auto"/>
        <w:ind w:hanging="5"/>
        <w:rPr>
          <w:rFonts w:hint="default" w:asciiTheme="minorEastAsia" w:hAnsiTheme="minorEastAsia" w:eastAsiaTheme="minorEastAsia"/>
          <w:b/>
          <w:color w:val="auto"/>
          <w:kern w:val="2"/>
          <w:lang w:val="en-US" w:eastAsia="zh-CN"/>
        </w:rPr>
      </w:pPr>
      <w:r>
        <w:rPr>
          <w:rFonts w:hint="eastAsia" w:asciiTheme="minorEastAsia" w:hAnsiTheme="minorEastAsia" w:eastAsiaTheme="minorEastAsia"/>
          <w:b/>
          <w:color w:val="auto"/>
          <w:kern w:val="2"/>
          <w:lang w:val="en-US" w:eastAsia="zh-CN"/>
        </w:rPr>
        <w:t>编码与标识</w:t>
      </w:r>
    </w:p>
    <w:p w14:paraId="22A94266">
      <w:pPr>
        <w:pStyle w:val="43"/>
        <w:ind w:firstLine="420"/>
        <w:rPr>
          <w:rFonts w:hint="default" w:asciiTheme="minorEastAsia" w:hAnsiTheme="minorEastAsia" w:eastAsiaTheme="minorEastAsia"/>
          <w:b/>
          <w:color w:val="auto"/>
          <w:kern w:val="2"/>
          <w:lang w:val="en-US" w:eastAsia="zh-CN"/>
        </w:rPr>
      </w:pPr>
      <w:r>
        <w:rPr>
          <w:rFonts w:hint="eastAsia"/>
          <w:lang w:val="en-US" w:eastAsia="zh-CN"/>
        </w:rPr>
        <w:t>规定了卫星终端应有唯一的出厂编码标识，并在终端设备侧面进行标记。卫星终端编码应包含制造商代码、设备代码、型号代码、年份代码和序列号。</w:t>
      </w:r>
    </w:p>
    <w:p w14:paraId="53FFD7D5">
      <w:pPr>
        <w:pStyle w:val="2"/>
        <w:spacing w:before="0" w:after="0" w:line="360" w:lineRule="auto"/>
        <w:ind w:firstLine="480" w:firstLineChars="200"/>
        <w:jc w:val="left"/>
        <w:rPr>
          <w:rFonts w:asciiTheme="minorEastAsia" w:hAnsiTheme="minorEastAsia" w:eastAsiaTheme="minorEastAsia"/>
          <w:sz w:val="24"/>
          <w:szCs w:val="24"/>
        </w:rPr>
      </w:pPr>
      <w:bookmarkStart w:id="5" w:name="_Toc486780489"/>
    </w:p>
    <w:p w14:paraId="07530596">
      <w:pPr>
        <w:pStyle w:val="2"/>
        <w:spacing w:before="0" w:after="0" w:line="360" w:lineRule="auto"/>
        <w:ind w:firstLine="480" w:firstLineChars="200"/>
        <w:jc w:val="left"/>
        <w:rPr>
          <w:rFonts w:asciiTheme="minorEastAsia" w:hAnsiTheme="minorEastAsia" w:eastAsiaTheme="minorEastAsia"/>
          <w:sz w:val="24"/>
          <w:szCs w:val="24"/>
        </w:rPr>
      </w:pPr>
      <w:bookmarkStart w:id="6" w:name="_Toc7669"/>
      <w:r>
        <w:rPr>
          <w:rFonts w:hint="eastAsia" w:asciiTheme="minorEastAsia" w:hAnsiTheme="minorEastAsia" w:eastAsiaTheme="minorEastAsia"/>
          <w:sz w:val="24"/>
          <w:szCs w:val="24"/>
        </w:rPr>
        <w:t>三、</w:t>
      </w:r>
      <w:bookmarkEnd w:id="5"/>
      <w:r>
        <w:rPr>
          <w:rFonts w:hint="eastAsia" w:asciiTheme="minorEastAsia" w:hAnsiTheme="minorEastAsia" w:eastAsiaTheme="minorEastAsia"/>
          <w:sz w:val="24"/>
          <w:szCs w:val="24"/>
        </w:rPr>
        <w:t>主要试验的分析综述报告、技术经济论证或预期的经济效果</w:t>
      </w:r>
      <w:bookmarkEnd w:id="6"/>
    </w:p>
    <w:p w14:paraId="619B70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sz w:val="24"/>
        </w:rPr>
      </w:pPr>
      <w:bookmarkStart w:id="7" w:name="_Hlk56693429"/>
      <w:bookmarkStart w:id="8" w:name="_Hlk56693447"/>
      <w:r>
        <w:rPr>
          <w:rFonts w:hint="eastAsia" w:asciiTheme="minorEastAsia" w:hAnsiTheme="minorEastAsia" w:eastAsiaTheme="minorEastAsia"/>
          <w:sz w:val="24"/>
        </w:rPr>
        <w:t>人造卫星按卫星运行高度（h）分类，卫星可分为低轨道（LEO）卫星（500km&lt;h&lt;2000km）、中轨道（MEO）卫星（8000km&lt;h&lt;20000km）、高轨道（HEO）卫星（h&gt;20000km）、静止/同步轨道（GEO）卫星（h=35786km）和椭圆轨道卫星（远地点可达40000km）。</w:t>
      </w:r>
    </w:p>
    <w:p w14:paraId="027461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sz w:val="24"/>
        </w:rPr>
      </w:pPr>
      <w:r>
        <w:rPr>
          <w:rFonts w:hint="eastAsia" w:asciiTheme="minorEastAsia" w:hAnsiTheme="minorEastAsia" w:eastAsiaTheme="minorEastAsia"/>
          <w:sz w:val="24"/>
        </w:rPr>
        <w:t>由于低轨道卫星和地球不同步运转，为完成对地面同一点的不间断卫星服务，必须有不同的卫星接力完成，因此，低轨道卫星系统普遍是由多条轨道上的多个卫星组成，卫星的分布也被称作卫星星座。随着小卫星技术的发展，越来越多的国家或企业开始重视发展低轨道通信卫星。低轨卫星通信并非是近几年的新生事物，上世纪90年代就有多个星座计划提出，比如大众比较熟悉的“铱星”和“全球星”，目前的低轨道卫星通信和以往有不同之处，以前主要是服务于卫星电话，现在是互联网。通过组网卫星在轨运行，它们将在距离地面1000公里的轨道上组网运行，基本实现覆盖全球的宽带互联网接入。组建完成后，可以实现网络无差别的全球覆盖，无论在海域还是无人岛或者飞机，都能接上互联网，和外界保持通信流畅。</w:t>
      </w:r>
    </w:p>
    <w:p w14:paraId="66DAD5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sz w:val="24"/>
        </w:rPr>
      </w:pPr>
      <w:r>
        <w:rPr>
          <w:rFonts w:hint="eastAsia" w:asciiTheme="minorEastAsia" w:hAnsiTheme="minorEastAsia" w:eastAsiaTheme="minorEastAsia"/>
          <w:sz w:val="24"/>
        </w:rPr>
        <w:t>美国的“OneWeb”“Star Link”卫星，中国的“虹云工程”、“鸿雁星座”等都是此类低轨道卫星通信星座。与大卫星相比，单颗小卫星成本较低，易于批量生产，发射的选择也更多，可以搭载发射，也可以专门一箭多星发射，多颗小卫星组网也可以实现甚至超出单颗大卫星功能和性能，现在不少遥感卫星、低轨道通信卫星都选择小卫星以及微小卫星平台。以美国OneWeb卫星星座为例，该卫星星座包含720颗低轨卫星和在轨备份星，这些卫星分布在18个轨道面上，每个轨道面上40颗卫星。星座总容量高达5.4Tbit/s(数据传输速率单位，主要有Kbps、Mbps、Gbps与Tb/s），每颗卫星的容量为7.5Gbit/s，可为用户提供下行200Mbit/s和上行50Mbit/s速率的互联网接入服务，时延约为30ms，与光纤网络相当。有这样的星座，偏远山区、海上航行的船舶、飞机等都可以使用速度相当于家里的互联网，给人们生活带来巨大的改变。</w:t>
      </w:r>
    </w:p>
    <w:p w14:paraId="07983AFB">
      <w:pPr>
        <w:spacing w:line="360" w:lineRule="auto"/>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现代信息技术与交通运输深度融合，智慧交通蓬勃发展。传统集装箱运输正向智能集装箱运输方向飞速发展。随着集装箱应用RFID技术、二维码技术、低轨道卫星技术日渐成熟，相关的标准需求也更加紧迫。</w:t>
      </w:r>
    </w:p>
    <w:p w14:paraId="0C23B6FB">
      <w:pPr>
        <w:spacing w:line="360" w:lineRule="auto"/>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在集装箱应用低轨道卫星进行数据通讯领域，随着应用案例不断增加，迫切需要统一数据终端标准，但集装箱卫星通信系统终端没有统一的标准，终端的指标大都根据客户的需求进行自定义，随着产品的系列的丰富和多样性，统一智能集装箱卫星通信系统终端技术指标显得尤为必要。智能集装箱卫星通信系统终端技术指标的制定，保证在不同的应用场景中，可以有效的进行产品功能和性能的互补、信息互通、取长补短。在集装箱运输安全监管领域有广泛应用需求，一方面集装箱相关的检验认证机构有普遍引用该标准的需求，一方面集装箱运输企业具有广泛应用该标准需求。通过制定智能集装箱卫星通信系统终端标准，有利于推动集装箱运输信息化水平。</w:t>
      </w:r>
    </w:p>
    <w:p w14:paraId="68E06D03">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本标准的制定能够为集装箱</w:t>
      </w:r>
      <w:r>
        <w:rPr>
          <w:rFonts w:hint="eastAsia" w:asciiTheme="minorEastAsia" w:hAnsiTheme="minorEastAsia" w:eastAsiaTheme="minorEastAsia"/>
          <w:sz w:val="24"/>
          <w:lang w:val="en-US" w:eastAsia="zh-CN"/>
        </w:rPr>
        <w:t>卫星</w:t>
      </w:r>
      <w:r>
        <w:rPr>
          <w:rFonts w:hint="eastAsia" w:asciiTheme="minorEastAsia" w:hAnsiTheme="minorEastAsia" w:eastAsiaTheme="minorEastAsia"/>
          <w:sz w:val="24"/>
        </w:rPr>
        <w:t>终端设备开发提供技术指引，更好地规范终端产品</w:t>
      </w:r>
      <w:r>
        <w:rPr>
          <w:rFonts w:hint="eastAsia" w:asciiTheme="minorEastAsia" w:hAnsiTheme="minorEastAsia" w:eastAsiaTheme="minorEastAsia"/>
          <w:sz w:val="24"/>
          <w:lang w:val="en-US" w:eastAsia="zh-CN"/>
        </w:rPr>
        <w:t>开发</w:t>
      </w:r>
      <w:r>
        <w:rPr>
          <w:rFonts w:hint="eastAsia" w:asciiTheme="minorEastAsia" w:hAnsiTheme="minorEastAsia" w:eastAsiaTheme="minorEastAsia"/>
          <w:sz w:val="24"/>
        </w:rPr>
        <w:t>，降低开发成本，推动我国集装箱</w:t>
      </w:r>
      <w:r>
        <w:rPr>
          <w:rFonts w:hint="eastAsia" w:asciiTheme="minorEastAsia" w:hAnsiTheme="minorEastAsia" w:eastAsiaTheme="minorEastAsia"/>
          <w:sz w:val="24"/>
          <w:lang w:val="en-US" w:eastAsia="zh-CN"/>
        </w:rPr>
        <w:t>卫星终端</w:t>
      </w:r>
      <w:r>
        <w:rPr>
          <w:rFonts w:hint="eastAsia" w:asciiTheme="minorEastAsia" w:hAnsiTheme="minorEastAsia" w:eastAsiaTheme="minorEastAsia"/>
          <w:sz w:val="24"/>
        </w:rPr>
        <w:t>的产业化发展，进一步推动集装箱智能化应用水平，能够促进我国在该领域自主产权的技术研发，率先掌握该领域的国际标准话语权。标准的发布实施还将使得集装箱智能终端设备的应用具备统一的应用环境，促进行业内上下游各环节对集装箱智能终端设备的广泛应用达成共识，对运输全过程降本增效起到重要的支撑作用，从而产生较好的经济效果。与此同时，标准的发布实施对提高集装箱港航服务品质，推进</w:t>
      </w:r>
      <w:r>
        <w:rPr>
          <w:rFonts w:hint="eastAsia" w:asciiTheme="minorEastAsia" w:hAnsiTheme="minorEastAsia" w:eastAsiaTheme="minorEastAsia"/>
          <w:sz w:val="24"/>
          <w:lang w:val="en-US" w:eastAsia="zh-CN"/>
        </w:rPr>
        <w:t>智慧</w:t>
      </w:r>
      <w:r>
        <w:rPr>
          <w:rFonts w:hint="eastAsia" w:asciiTheme="minorEastAsia" w:hAnsiTheme="minorEastAsia" w:eastAsiaTheme="minorEastAsia"/>
          <w:sz w:val="24"/>
        </w:rPr>
        <w:t>物流高质量发展，满足人民对</w:t>
      </w:r>
      <w:r>
        <w:rPr>
          <w:rFonts w:hint="eastAsia" w:asciiTheme="minorEastAsia" w:hAnsiTheme="minorEastAsia" w:eastAsiaTheme="minorEastAsia"/>
          <w:sz w:val="24"/>
          <w:lang w:val="en-US" w:eastAsia="zh-CN"/>
        </w:rPr>
        <w:t>精益物流</w:t>
      </w:r>
      <w:bookmarkStart w:id="17" w:name="_GoBack"/>
      <w:bookmarkEnd w:id="17"/>
      <w:r>
        <w:rPr>
          <w:rFonts w:hint="eastAsia" w:asciiTheme="minorEastAsia" w:hAnsiTheme="minorEastAsia" w:eastAsiaTheme="minorEastAsia"/>
          <w:sz w:val="24"/>
        </w:rPr>
        <w:t>需求起到促进作用。</w:t>
      </w:r>
    </w:p>
    <w:p w14:paraId="0121A198">
      <w:pPr>
        <w:spacing w:line="360" w:lineRule="auto"/>
        <w:ind w:firstLine="480" w:firstLineChars="200"/>
        <w:rPr>
          <w:rFonts w:asciiTheme="minorEastAsia" w:hAnsiTheme="minorEastAsia" w:eastAsiaTheme="minorEastAsia"/>
          <w:sz w:val="24"/>
        </w:rPr>
      </w:pPr>
    </w:p>
    <w:bookmarkEnd w:id="7"/>
    <w:bookmarkEnd w:id="8"/>
    <w:p w14:paraId="5645135B">
      <w:pPr>
        <w:pStyle w:val="2"/>
        <w:spacing w:before="0" w:after="0" w:line="360" w:lineRule="auto"/>
        <w:ind w:firstLine="480" w:firstLineChars="200"/>
        <w:rPr>
          <w:rFonts w:asciiTheme="minorEastAsia" w:hAnsiTheme="minorEastAsia" w:eastAsiaTheme="minorEastAsia"/>
          <w:sz w:val="24"/>
          <w:szCs w:val="24"/>
        </w:rPr>
      </w:pPr>
      <w:bookmarkStart w:id="9" w:name="_Toc486780490"/>
      <w:bookmarkStart w:id="10" w:name="_Toc2442"/>
      <w:r>
        <w:rPr>
          <w:rFonts w:hint="eastAsia" w:asciiTheme="minorEastAsia" w:hAnsiTheme="minorEastAsia" w:eastAsiaTheme="minorEastAsia"/>
          <w:sz w:val="24"/>
          <w:szCs w:val="24"/>
        </w:rPr>
        <w:t>四、采用国际标准和国外先进标准</w:t>
      </w:r>
      <w:bookmarkEnd w:id="9"/>
      <w:r>
        <w:rPr>
          <w:rFonts w:hint="eastAsia" w:asciiTheme="minorEastAsia" w:hAnsiTheme="minorEastAsia" w:eastAsiaTheme="minorEastAsia"/>
          <w:sz w:val="24"/>
          <w:szCs w:val="24"/>
        </w:rPr>
        <w:t>的程度</w:t>
      </w:r>
      <w:bookmarkEnd w:id="10"/>
    </w:p>
    <w:p w14:paraId="44D6CB37">
      <w:pPr>
        <w:pStyle w:val="41"/>
        <w:spacing w:line="360" w:lineRule="auto"/>
        <w:ind w:firstLine="480" w:firstLineChars="200"/>
        <w:rPr>
          <w:rFonts w:cs="宋体" w:asciiTheme="minorEastAsia" w:hAnsiTheme="minorEastAsia" w:eastAsiaTheme="minorEastAsia"/>
        </w:rPr>
      </w:pPr>
      <w:r>
        <w:rPr>
          <w:rFonts w:hint="eastAsia" w:cs="宋体" w:asciiTheme="minorEastAsia" w:hAnsiTheme="minorEastAsia" w:eastAsiaTheme="minorEastAsia"/>
        </w:rPr>
        <w:t>本标准未采标。</w:t>
      </w:r>
    </w:p>
    <w:p w14:paraId="35B652A5">
      <w:pPr>
        <w:pStyle w:val="41"/>
        <w:spacing w:line="360" w:lineRule="auto"/>
        <w:ind w:firstLine="480" w:firstLineChars="200"/>
        <w:rPr>
          <w:rFonts w:cs="宋体" w:asciiTheme="minorEastAsia" w:hAnsiTheme="minorEastAsia" w:eastAsiaTheme="minorEastAsia"/>
        </w:rPr>
      </w:pPr>
      <w:r>
        <w:rPr>
          <w:rFonts w:hint="eastAsia" w:cs="宋体" w:asciiTheme="minorEastAsia" w:hAnsiTheme="minorEastAsia" w:eastAsiaTheme="minorEastAsia"/>
        </w:rPr>
        <w:t>经调研查询，国内外均无</w:t>
      </w:r>
      <w:r>
        <w:rPr>
          <w:rFonts w:hint="eastAsia" w:asciiTheme="minorEastAsia" w:hAnsiTheme="minorEastAsia" w:eastAsiaTheme="minorEastAsia"/>
        </w:rPr>
        <w:t>集装箱</w:t>
      </w:r>
      <w:r>
        <w:rPr>
          <w:rFonts w:hint="eastAsia" w:asciiTheme="minorEastAsia" w:hAnsiTheme="minorEastAsia" w:eastAsiaTheme="minorEastAsia"/>
          <w:lang w:val="en-US" w:eastAsia="zh-CN"/>
        </w:rPr>
        <w:t>卫星</w:t>
      </w:r>
      <w:r>
        <w:rPr>
          <w:rFonts w:hint="eastAsia" w:asciiTheme="minorEastAsia" w:hAnsiTheme="minorEastAsia" w:eastAsiaTheme="minorEastAsia"/>
        </w:rPr>
        <w:t>终端的相关技术标准。</w:t>
      </w:r>
    </w:p>
    <w:p w14:paraId="369329C9">
      <w:pPr>
        <w:pStyle w:val="41"/>
        <w:spacing w:line="360" w:lineRule="auto"/>
        <w:ind w:firstLine="480" w:firstLineChars="200"/>
        <w:rPr>
          <w:rFonts w:cs="宋体" w:asciiTheme="minorEastAsia" w:hAnsiTheme="minorEastAsia" w:eastAsiaTheme="minorEastAsia"/>
        </w:rPr>
      </w:pPr>
    </w:p>
    <w:p w14:paraId="18C2F47E">
      <w:pPr>
        <w:pStyle w:val="2"/>
        <w:spacing w:before="0" w:after="0" w:line="360" w:lineRule="auto"/>
        <w:ind w:firstLine="480" w:firstLineChars="200"/>
        <w:rPr>
          <w:rFonts w:asciiTheme="minorEastAsia" w:hAnsiTheme="minorEastAsia" w:eastAsiaTheme="minorEastAsia"/>
          <w:sz w:val="24"/>
          <w:szCs w:val="24"/>
        </w:rPr>
      </w:pPr>
      <w:bookmarkStart w:id="11" w:name="_Toc486780491"/>
      <w:bookmarkStart w:id="12" w:name="_Toc32687"/>
      <w:r>
        <w:rPr>
          <w:rFonts w:hint="eastAsia" w:asciiTheme="minorEastAsia" w:hAnsiTheme="minorEastAsia" w:eastAsiaTheme="minorEastAsia"/>
          <w:sz w:val="24"/>
          <w:szCs w:val="24"/>
        </w:rPr>
        <w:t>五、与有关的现行法律、法规和强制性国家标准的关系</w:t>
      </w:r>
      <w:bookmarkEnd w:id="11"/>
      <w:bookmarkEnd w:id="12"/>
    </w:p>
    <w:p w14:paraId="5738FB40">
      <w:pPr>
        <w:widowControl/>
        <w:ind w:firstLine="480" w:firstLineChars="200"/>
        <w:jc w:val="left"/>
        <w:rPr>
          <w:rFonts w:hint="eastAsia" w:asciiTheme="minorEastAsia" w:hAnsiTheme="minorEastAsia" w:eastAsiaTheme="minorEastAsia"/>
          <w:sz w:val="24"/>
          <w:lang w:val="en-US" w:eastAsia="zh-CN"/>
        </w:rPr>
      </w:pPr>
      <w:r>
        <w:rPr>
          <w:rFonts w:hint="eastAsia" w:asciiTheme="minorEastAsia" w:hAnsiTheme="minorEastAsia" w:eastAsiaTheme="minorEastAsia"/>
          <w:sz w:val="24"/>
        </w:rPr>
        <w:t>本标准与现行法律、法规和强制标准之间没有冲突</w:t>
      </w:r>
      <w:r>
        <w:rPr>
          <w:rFonts w:hint="eastAsia" w:asciiTheme="minorEastAsia" w:hAnsiTheme="minorEastAsia" w:eastAsiaTheme="minorEastAsia"/>
          <w:sz w:val="24"/>
          <w:lang w:eastAsia="zh-CN"/>
        </w:rPr>
        <w:t>。</w:t>
      </w:r>
      <w:r>
        <w:rPr>
          <w:rFonts w:hint="eastAsia" w:asciiTheme="minorEastAsia" w:hAnsiTheme="minorEastAsia" w:eastAsiaTheme="minorEastAsia"/>
          <w:sz w:val="24"/>
          <w:lang w:val="en-US" w:eastAsia="zh-CN"/>
        </w:rPr>
        <w:t>本标准与以下标准保持协调：</w:t>
      </w:r>
    </w:p>
    <w:p w14:paraId="01D9E42E">
      <w:pPr>
        <w:spacing w:line="360" w:lineRule="auto"/>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GB 11443.1-1989 国内卫星通信地球站总技术要求 第一部分:通用要求 ；</w:t>
      </w:r>
    </w:p>
    <w:p w14:paraId="66BAA974">
      <w:pPr>
        <w:spacing w:line="360" w:lineRule="auto"/>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GB/T 15296-1994可搬移式卫星通信地球站设备通用技术条件 ；</w:t>
      </w:r>
    </w:p>
    <w:p w14:paraId="0926D38D">
      <w:pPr>
        <w:spacing w:line="360" w:lineRule="auto"/>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YDB 183-2017 卫星通信终端通用技术要求和测试方法 ；</w:t>
      </w:r>
    </w:p>
    <w:p w14:paraId="3F7A804A">
      <w:pPr>
        <w:spacing w:line="360" w:lineRule="auto"/>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YD/T 1312.13-2013 无线通信设备电磁兼容性要求和测量方法 第13部分：移动通信终端适配器；</w:t>
      </w:r>
    </w:p>
    <w:p w14:paraId="43623E98">
      <w:pPr>
        <w:spacing w:line="360" w:lineRule="auto"/>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YD/T 3094-2016 智能化固定通信终端技术要求。</w:t>
      </w:r>
    </w:p>
    <w:p w14:paraId="4058409F">
      <w:pPr>
        <w:widowControl/>
        <w:ind w:firstLine="480" w:firstLineChars="200"/>
        <w:jc w:val="left"/>
        <w:rPr>
          <w:rFonts w:hint="default" w:asciiTheme="minorEastAsia" w:hAnsiTheme="minorEastAsia" w:eastAsiaTheme="minorEastAsia"/>
          <w:sz w:val="24"/>
          <w:lang w:val="en-US" w:eastAsia="zh-CN"/>
        </w:rPr>
      </w:pPr>
    </w:p>
    <w:p w14:paraId="48E3CCC8">
      <w:pPr>
        <w:widowControl/>
        <w:ind w:firstLine="480" w:firstLineChars="200"/>
        <w:jc w:val="left"/>
        <w:rPr>
          <w:rFonts w:asciiTheme="minorEastAsia" w:hAnsiTheme="minorEastAsia" w:eastAsiaTheme="minorEastAsia"/>
          <w:sz w:val="24"/>
        </w:rPr>
      </w:pPr>
    </w:p>
    <w:p w14:paraId="02FF7B20">
      <w:pPr>
        <w:pStyle w:val="2"/>
        <w:spacing w:before="0" w:after="0" w:line="360" w:lineRule="auto"/>
        <w:ind w:firstLine="480" w:firstLineChars="200"/>
        <w:rPr>
          <w:rFonts w:asciiTheme="minorEastAsia" w:hAnsiTheme="minorEastAsia" w:eastAsiaTheme="minorEastAsia"/>
          <w:sz w:val="24"/>
          <w:szCs w:val="24"/>
        </w:rPr>
      </w:pPr>
      <w:bookmarkStart w:id="13" w:name="_Toc16065"/>
      <w:r>
        <w:rPr>
          <w:rFonts w:hint="eastAsia" w:asciiTheme="minorEastAsia" w:hAnsiTheme="minorEastAsia" w:eastAsiaTheme="minorEastAsia"/>
          <w:sz w:val="24"/>
          <w:szCs w:val="24"/>
        </w:rPr>
        <w:t>六、重大分歧意见的处理经过和依据</w:t>
      </w:r>
      <w:bookmarkEnd w:id="13"/>
    </w:p>
    <w:p w14:paraId="059F5487">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无。</w:t>
      </w:r>
    </w:p>
    <w:p w14:paraId="73BA9369">
      <w:pPr>
        <w:spacing w:line="360" w:lineRule="auto"/>
        <w:ind w:firstLine="480" w:firstLineChars="200"/>
        <w:rPr>
          <w:rFonts w:asciiTheme="minorEastAsia" w:hAnsiTheme="minorEastAsia" w:eastAsiaTheme="minorEastAsia"/>
          <w:bCs/>
          <w:sz w:val="24"/>
        </w:rPr>
      </w:pPr>
    </w:p>
    <w:p w14:paraId="41C55F04">
      <w:pPr>
        <w:pStyle w:val="2"/>
        <w:spacing w:before="0" w:after="0" w:line="360" w:lineRule="auto"/>
        <w:ind w:firstLine="480" w:firstLineChars="200"/>
        <w:rPr>
          <w:rFonts w:asciiTheme="minorEastAsia" w:hAnsiTheme="minorEastAsia" w:eastAsiaTheme="minorEastAsia"/>
          <w:sz w:val="24"/>
          <w:szCs w:val="24"/>
        </w:rPr>
      </w:pPr>
      <w:bookmarkStart w:id="14" w:name="_Toc30843"/>
      <w:r>
        <w:rPr>
          <w:rFonts w:hint="eastAsia" w:asciiTheme="minorEastAsia" w:hAnsiTheme="minorEastAsia" w:eastAsiaTheme="minorEastAsia"/>
          <w:sz w:val="24"/>
          <w:szCs w:val="24"/>
        </w:rPr>
        <w:t>七、标准过渡期的建议</w:t>
      </w:r>
      <w:bookmarkEnd w:id="14"/>
    </w:p>
    <w:p w14:paraId="21CB20F4">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考虑标准发布后，需对标准使用者进行宣贯和培训，故建议标准文件发布后三个月后实施。</w:t>
      </w:r>
    </w:p>
    <w:p w14:paraId="346ABC11">
      <w:pPr>
        <w:spacing w:line="360" w:lineRule="auto"/>
        <w:ind w:firstLine="480" w:firstLineChars="200"/>
        <w:rPr>
          <w:rFonts w:asciiTheme="minorEastAsia" w:hAnsiTheme="minorEastAsia" w:eastAsiaTheme="minorEastAsia"/>
          <w:sz w:val="24"/>
        </w:rPr>
      </w:pPr>
    </w:p>
    <w:p w14:paraId="6E5B2F5C">
      <w:pPr>
        <w:pStyle w:val="2"/>
        <w:spacing w:before="0" w:after="0" w:line="360" w:lineRule="auto"/>
        <w:ind w:firstLine="480" w:firstLineChars="200"/>
        <w:rPr>
          <w:rFonts w:asciiTheme="minorEastAsia" w:hAnsiTheme="minorEastAsia" w:eastAsiaTheme="minorEastAsia"/>
          <w:sz w:val="24"/>
          <w:szCs w:val="24"/>
        </w:rPr>
      </w:pPr>
      <w:bookmarkStart w:id="15" w:name="_Toc5165"/>
      <w:r>
        <w:rPr>
          <w:rFonts w:hint="eastAsia" w:asciiTheme="minorEastAsia" w:hAnsiTheme="minorEastAsia" w:eastAsiaTheme="minorEastAsia"/>
          <w:sz w:val="24"/>
          <w:szCs w:val="24"/>
        </w:rPr>
        <w:t>八、废止现行有关标准的建议</w:t>
      </w:r>
      <w:bookmarkEnd w:id="15"/>
    </w:p>
    <w:p w14:paraId="293A2455">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无。</w:t>
      </w:r>
    </w:p>
    <w:p w14:paraId="21DF7D22">
      <w:pPr>
        <w:spacing w:line="360" w:lineRule="auto"/>
        <w:ind w:firstLine="480" w:firstLineChars="200"/>
        <w:rPr>
          <w:rFonts w:asciiTheme="minorEastAsia" w:hAnsiTheme="minorEastAsia" w:eastAsiaTheme="minorEastAsia"/>
          <w:sz w:val="24"/>
        </w:rPr>
      </w:pPr>
    </w:p>
    <w:p w14:paraId="672B747D">
      <w:pPr>
        <w:pStyle w:val="2"/>
        <w:spacing w:before="0" w:after="0" w:line="360" w:lineRule="auto"/>
        <w:ind w:firstLine="480" w:firstLineChars="200"/>
        <w:rPr>
          <w:rFonts w:asciiTheme="minorEastAsia" w:hAnsiTheme="minorEastAsia" w:eastAsiaTheme="minorEastAsia"/>
          <w:sz w:val="24"/>
          <w:szCs w:val="24"/>
        </w:rPr>
      </w:pPr>
      <w:bookmarkStart w:id="16" w:name="_Toc7525"/>
      <w:r>
        <w:rPr>
          <w:rFonts w:hint="eastAsia" w:asciiTheme="minorEastAsia" w:hAnsiTheme="minorEastAsia" w:eastAsiaTheme="minorEastAsia"/>
          <w:sz w:val="24"/>
          <w:szCs w:val="24"/>
        </w:rPr>
        <w:t>九、其他应予说明的事项</w:t>
      </w:r>
      <w:bookmarkEnd w:id="16"/>
    </w:p>
    <w:p w14:paraId="40E5D8D9">
      <w:pPr>
        <w:spacing w:line="360" w:lineRule="auto"/>
        <w:ind w:firstLine="480" w:firstLineChars="200"/>
        <w:rPr>
          <w:sz w:val="24"/>
        </w:rPr>
      </w:pPr>
      <w:r>
        <w:rPr>
          <w:rFonts w:hint="eastAsia"/>
          <w:sz w:val="24"/>
        </w:rPr>
        <w:t>本文件在起草过程中，暂时未识别出专利。</w:t>
      </w:r>
    </w:p>
    <w:p w14:paraId="59F28398">
      <w:pPr>
        <w:spacing w:before="156" w:beforeLines="50" w:line="360" w:lineRule="auto"/>
        <w:ind w:firstLine="420" w:firstLineChars="200"/>
      </w:pPr>
    </w:p>
    <w:sectPr>
      <w:footerReference r:id="rId5" w:type="default"/>
      <w:pgSz w:w="11906" w:h="16838"/>
      <w:pgMar w:top="1588" w:right="1814" w:bottom="1588" w:left="1814" w:header="851" w:footer="992" w:gutter="0"/>
      <w:pgNumType w:start="1"/>
      <w:cols w:space="425" w:num="1"/>
      <w:docGrid w:type="linesAndChar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4599478"/>
    </w:sdtPr>
    <w:sdtContent>
      <w:p w14:paraId="4CD6CCC5">
        <w:pPr>
          <w:pStyle w:val="9"/>
          <w:jc w:val="center"/>
        </w:pPr>
      </w:p>
    </w:sdtContent>
  </w:sdt>
  <w:p w14:paraId="6C734626">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A0B68">
    <w:pPr>
      <w:pStyle w:val="9"/>
      <w:jc w:val="center"/>
    </w:pPr>
  </w:p>
  <w:p w14:paraId="26555109">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7949734"/>
    </w:sdtPr>
    <w:sdtContent>
      <w:p w14:paraId="4C889561">
        <w:pPr>
          <w:pStyle w:val="9"/>
          <w:jc w:val="center"/>
        </w:pPr>
        <w:r>
          <w:fldChar w:fldCharType="begin"/>
        </w:r>
        <w:r>
          <w:instrText xml:space="preserve">PAGE   \* MERGEFORMAT</w:instrText>
        </w:r>
        <w:r>
          <w:fldChar w:fldCharType="separate"/>
        </w:r>
        <w:r>
          <w:rPr>
            <w:lang w:val="zh-CN"/>
          </w:rPr>
          <w:t>6</w:t>
        </w:r>
        <w:r>
          <w:fldChar w:fldCharType="end"/>
        </w:r>
      </w:p>
    </w:sdtContent>
  </w:sdt>
  <w:p w14:paraId="52F4568F">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031106"/>
    <w:multiLevelType w:val="singleLevel"/>
    <w:tmpl w:val="FC031106"/>
    <w:lvl w:ilvl="0" w:tentative="0">
      <w:start w:val="1"/>
      <w:numFmt w:val="decimal"/>
      <w:lvlText w:val="%1."/>
      <w:lvlJc w:val="left"/>
      <w:pPr>
        <w:ind w:left="425" w:hanging="425"/>
      </w:pPr>
      <w:rPr>
        <w:rFonts w:hint="default"/>
      </w:rPr>
    </w:lvl>
  </w:abstractNum>
  <w:abstractNum w:abstractNumId="1">
    <w:nsid w:val="04481A5C"/>
    <w:multiLevelType w:val="multilevel"/>
    <w:tmpl w:val="04481A5C"/>
    <w:lvl w:ilvl="0" w:tentative="0">
      <w:start w:val="1"/>
      <w:numFmt w:val="decimal"/>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
    <w:nsid w:val="1FC91163"/>
    <w:multiLevelType w:val="multilevel"/>
    <w:tmpl w:val="1FC91163"/>
    <w:lvl w:ilvl="0" w:tentative="0">
      <w:start w:val="1"/>
      <w:numFmt w:val="decimal"/>
      <w:pStyle w:val="30"/>
      <w:suff w:val="nothing"/>
      <w:lvlText w:val="%1　"/>
      <w:lvlJc w:val="left"/>
      <w:rPr>
        <w:rFonts w:hint="eastAsia" w:ascii="黑体" w:hAnsi="Times New Roman" w:eastAsia="黑体" w:cs="Times New Roman"/>
        <w:b w:val="0"/>
        <w:i w:val="0"/>
        <w:sz w:val="21"/>
        <w:szCs w:val="21"/>
      </w:rPr>
    </w:lvl>
    <w:lvl w:ilvl="1" w:tentative="0">
      <w:start w:val="1"/>
      <w:numFmt w:val="decimal"/>
      <w:pStyle w:val="29"/>
      <w:suff w:val="nothing"/>
      <w:lvlText w:val="%1.%2　"/>
      <w:lvlJc w:val="left"/>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31"/>
      <w:suff w:val="nothing"/>
      <w:lvlText w:val="%1.%2.%3　"/>
      <w:lvlJc w:val="left"/>
      <w:rPr>
        <w:rFonts w:hint="eastAsia" w:ascii="黑体" w:hAnsi="Times New Roman" w:eastAsia="黑体" w:cs="Times New Roman"/>
        <w:b w:val="0"/>
        <w:i w:val="0"/>
        <w:sz w:val="21"/>
      </w:rPr>
    </w:lvl>
    <w:lvl w:ilvl="3" w:tentative="0">
      <w:start w:val="1"/>
      <w:numFmt w:val="decimal"/>
      <w:pStyle w:val="32"/>
      <w:suff w:val="nothing"/>
      <w:lvlText w:val="%1.%2.%3.%4　"/>
      <w:lvlJc w:val="left"/>
      <w:rPr>
        <w:rFonts w:hint="eastAsia" w:ascii="黑体" w:hAnsi="Times New Roman" w:eastAsia="黑体" w:cs="Times New Roman"/>
        <w:b w:val="0"/>
        <w:i w:val="0"/>
        <w:sz w:val="21"/>
      </w:rPr>
    </w:lvl>
    <w:lvl w:ilvl="4" w:tentative="0">
      <w:start w:val="1"/>
      <w:numFmt w:val="decimal"/>
      <w:pStyle w:val="33"/>
      <w:suff w:val="nothing"/>
      <w:lvlText w:val="%1.%2.%3.%4.%5　"/>
      <w:lvlJc w:val="left"/>
      <w:rPr>
        <w:rFonts w:hint="eastAsia" w:ascii="黑体" w:hAnsi="Times New Roman" w:eastAsia="黑体" w:cs="Times New Roman"/>
        <w:b w:val="0"/>
        <w:i w:val="0"/>
        <w:sz w:val="21"/>
      </w:rPr>
    </w:lvl>
    <w:lvl w:ilvl="5" w:tentative="0">
      <w:start w:val="1"/>
      <w:numFmt w:val="decimal"/>
      <w:pStyle w:val="34"/>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3">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48"/>
      <w:suff w:val="nothing"/>
      <w:lvlText w:val="%1%2　"/>
      <w:lvlJc w:val="left"/>
      <w:pPr>
        <w:ind w:left="0" w:firstLine="0"/>
      </w:pPr>
      <w:rPr>
        <w:rFonts w:hint="eastAsia" w:ascii="黑体" w:eastAsia="黑体"/>
        <w:b w:val="0"/>
        <w:i w:val="0"/>
        <w:sz w:val="21"/>
      </w:rPr>
    </w:lvl>
    <w:lvl w:ilvl="2" w:tentative="0">
      <w:start w:val="1"/>
      <w:numFmt w:val="decimal"/>
      <w:pStyle w:val="4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45"/>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0NDg0ZGZlOWNlYTJhNzgzMzJlOWMyY2M1NGU2ZjYifQ=="/>
  </w:docVars>
  <w:rsids>
    <w:rsidRoot w:val="0096469E"/>
    <w:rsid w:val="000114B4"/>
    <w:rsid w:val="00017B1D"/>
    <w:rsid w:val="00022643"/>
    <w:rsid w:val="00025B55"/>
    <w:rsid w:val="00025D11"/>
    <w:rsid w:val="00037ACB"/>
    <w:rsid w:val="000407A3"/>
    <w:rsid w:val="00043B4E"/>
    <w:rsid w:val="00045875"/>
    <w:rsid w:val="0005542F"/>
    <w:rsid w:val="00056F87"/>
    <w:rsid w:val="00066261"/>
    <w:rsid w:val="0007146F"/>
    <w:rsid w:val="00072577"/>
    <w:rsid w:val="00072F4F"/>
    <w:rsid w:val="00073793"/>
    <w:rsid w:val="00082937"/>
    <w:rsid w:val="000900B2"/>
    <w:rsid w:val="00092D45"/>
    <w:rsid w:val="000A3FEB"/>
    <w:rsid w:val="000A5CD1"/>
    <w:rsid w:val="000A791C"/>
    <w:rsid w:val="000B1135"/>
    <w:rsid w:val="000B61FC"/>
    <w:rsid w:val="000C183F"/>
    <w:rsid w:val="000C3CF8"/>
    <w:rsid w:val="000C53A8"/>
    <w:rsid w:val="000E443A"/>
    <w:rsid w:val="000F02FB"/>
    <w:rsid w:val="000F16F7"/>
    <w:rsid w:val="000F2010"/>
    <w:rsid w:val="00100323"/>
    <w:rsid w:val="0010116E"/>
    <w:rsid w:val="0010331E"/>
    <w:rsid w:val="00104338"/>
    <w:rsid w:val="00104A25"/>
    <w:rsid w:val="00104E7E"/>
    <w:rsid w:val="0010676A"/>
    <w:rsid w:val="00110C87"/>
    <w:rsid w:val="00110EF3"/>
    <w:rsid w:val="00122529"/>
    <w:rsid w:val="00123CC3"/>
    <w:rsid w:val="00124BE3"/>
    <w:rsid w:val="00130D4C"/>
    <w:rsid w:val="001323AB"/>
    <w:rsid w:val="00147096"/>
    <w:rsid w:val="00147A3D"/>
    <w:rsid w:val="00152AF1"/>
    <w:rsid w:val="00152C49"/>
    <w:rsid w:val="001549D5"/>
    <w:rsid w:val="00171EA4"/>
    <w:rsid w:val="0017770D"/>
    <w:rsid w:val="001846AC"/>
    <w:rsid w:val="00193DFF"/>
    <w:rsid w:val="0019450A"/>
    <w:rsid w:val="0019540A"/>
    <w:rsid w:val="001A1DFA"/>
    <w:rsid w:val="001A3BB1"/>
    <w:rsid w:val="001B126A"/>
    <w:rsid w:val="001B3F1C"/>
    <w:rsid w:val="001B4652"/>
    <w:rsid w:val="001B707C"/>
    <w:rsid w:val="001C0641"/>
    <w:rsid w:val="001C3586"/>
    <w:rsid w:val="001C3BA2"/>
    <w:rsid w:val="001D0D5D"/>
    <w:rsid w:val="001D3711"/>
    <w:rsid w:val="001E3571"/>
    <w:rsid w:val="0021078E"/>
    <w:rsid w:val="002161C3"/>
    <w:rsid w:val="00217651"/>
    <w:rsid w:val="00224D5A"/>
    <w:rsid w:val="00241EE1"/>
    <w:rsid w:val="00245165"/>
    <w:rsid w:val="002452A9"/>
    <w:rsid w:val="00250A68"/>
    <w:rsid w:val="00250C28"/>
    <w:rsid w:val="00250FF3"/>
    <w:rsid w:val="00254B09"/>
    <w:rsid w:val="0026648A"/>
    <w:rsid w:val="00270911"/>
    <w:rsid w:val="00270FFC"/>
    <w:rsid w:val="0027149D"/>
    <w:rsid w:val="00272B39"/>
    <w:rsid w:val="002741F2"/>
    <w:rsid w:val="00285239"/>
    <w:rsid w:val="002A2C0F"/>
    <w:rsid w:val="002A6E03"/>
    <w:rsid w:val="002B5B49"/>
    <w:rsid w:val="002B68C9"/>
    <w:rsid w:val="002C374D"/>
    <w:rsid w:val="002D3D5F"/>
    <w:rsid w:val="002D7DA2"/>
    <w:rsid w:val="002F3F5E"/>
    <w:rsid w:val="00301381"/>
    <w:rsid w:val="00301A88"/>
    <w:rsid w:val="00304108"/>
    <w:rsid w:val="00307671"/>
    <w:rsid w:val="00310007"/>
    <w:rsid w:val="00322722"/>
    <w:rsid w:val="00325081"/>
    <w:rsid w:val="00325174"/>
    <w:rsid w:val="003300C4"/>
    <w:rsid w:val="00334CC8"/>
    <w:rsid w:val="00336C5C"/>
    <w:rsid w:val="003403A6"/>
    <w:rsid w:val="00343C55"/>
    <w:rsid w:val="003460C2"/>
    <w:rsid w:val="00355184"/>
    <w:rsid w:val="00357C78"/>
    <w:rsid w:val="00361948"/>
    <w:rsid w:val="00361D22"/>
    <w:rsid w:val="00362F86"/>
    <w:rsid w:val="00365E8B"/>
    <w:rsid w:val="00366DBD"/>
    <w:rsid w:val="00370495"/>
    <w:rsid w:val="003732AA"/>
    <w:rsid w:val="00380411"/>
    <w:rsid w:val="003822B3"/>
    <w:rsid w:val="0039603B"/>
    <w:rsid w:val="003A3A23"/>
    <w:rsid w:val="003C4129"/>
    <w:rsid w:val="003C6E95"/>
    <w:rsid w:val="003D12C5"/>
    <w:rsid w:val="003D536D"/>
    <w:rsid w:val="003E2608"/>
    <w:rsid w:val="003E53A7"/>
    <w:rsid w:val="003E59D7"/>
    <w:rsid w:val="003E699B"/>
    <w:rsid w:val="003F1A8D"/>
    <w:rsid w:val="003F371C"/>
    <w:rsid w:val="003F6EC5"/>
    <w:rsid w:val="00405371"/>
    <w:rsid w:val="004173C2"/>
    <w:rsid w:val="004177FA"/>
    <w:rsid w:val="0043137A"/>
    <w:rsid w:val="004363ED"/>
    <w:rsid w:val="00443715"/>
    <w:rsid w:val="004476ED"/>
    <w:rsid w:val="004553E9"/>
    <w:rsid w:val="00465375"/>
    <w:rsid w:val="00467FC4"/>
    <w:rsid w:val="0047791A"/>
    <w:rsid w:val="00480E0A"/>
    <w:rsid w:val="00481BF7"/>
    <w:rsid w:val="004835DC"/>
    <w:rsid w:val="00484D88"/>
    <w:rsid w:val="004A6BA1"/>
    <w:rsid w:val="004B2A38"/>
    <w:rsid w:val="004C68EA"/>
    <w:rsid w:val="004D0DEF"/>
    <w:rsid w:val="004D0FD8"/>
    <w:rsid w:val="004D21FD"/>
    <w:rsid w:val="004D341F"/>
    <w:rsid w:val="004D63FE"/>
    <w:rsid w:val="004E27B1"/>
    <w:rsid w:val="004E4082"/>
    <w:rsid w:val="004E4267"/>
    <w:rsid w:val="004E79DF"/>
    <w:rsid w:val="004F0D09"/>
    <w:rsid w:val="004F4F09"/>
    <w:rsid w:val="005000F6"/>
    <w:rsid w:val="00504BCE"/>
    <w:rsid w:val="00511EF9"/>
    <w:rsid w:val="00516A78"/>
    <w:rsid w:val="0053086E"/>
    <w:rsid w:val="00531201"/>
    <w:rsid w:val="00534B25"/>
    <w:rsid w:val="00534EB9"/>
    <w:rsid w:val="0053580B"/>
    <w:rsid w:val="005362CC"/>
    <w:rsid w:val="0054378D"/>
    <w:rsid w:val="00547534"/>
    <w:rsid w:val="00547B90"/>
    <w:rsid w:val="005560D0"/>
    <w:rsid w:val="00557959"/>
    <w:rsid w:val="00561CCE"/>
    <w:rsid w:val="0057399C"/>
    <w:rsid w:val="00574C66"/>
    <w:rsid w:val="005750B0"/>
    <w:rsid w:val="00586FEC"/>
    <w:rsid w:val="00587473"/>
    <w:rsid w:val="005915E9"/>
    <w:rsid w:val="00592E79"/>
    <w:rsid w:val="0059651A"/>
    <w:rsid w:val="005A582E"/>
    <w:rsid w:val="005B569A"/>
    <w:rsid w:val="005B7C3A"/>
    <w:rsid w:val="005D710D"/>
    <w:rsid w:val="005D73A8"/>
    <w:rsid w:val="005D76C7"/>
    <w:rsid w:val="00602783"/>
    <w:rsid w:val="00607E2B"/>
    <w:rsid w:val="00610043"/>
    <w:rsid w:val="006116B7"/>
    <w:rsid w:val="00611EC8"/>
    <w:rsid w:val="006134E3"/>
    <w:rsid w:val="00622B8D"/>
    <w:rsid w:val="00626A4F"/>
    <w:rsid w:val="00634D1B"/>
    <w:rsid w:val="00641D6A"/>
    <w:rsid w:val="00651B80"/>
    <w:rsid w:val="006555BB"/>
    <w:rsid w:val="00655A04"/>
    <w:rsid w:val="00655EA3"/>
    <w:rsid w:val="006607EC"/>
    <w:rsid w:val="006638E1"/>
    <w:rsid w:val="00663E14"/>
    <w:rsid w:val="00674F9E"/>
    <w:rsid w:val="00677865"/>
    <w:rsid w:val="00684DD5"/>
    <w:rsid w:val="00687B29"/>
    <w:rsid w:val="006963CD"/>
    <w:rsid w:val="006A6E4A"/>
    <w:rsid w:val="006B06C8"/>
    <w:rsid w:val="006C7E85"/>
    <w:rsid w:val="006D0A34"/>
    <w:rsid w:val="006D2380"/>
    <w:rsid w:val="006D30E9"/>
    <w:rsid w:val="006D4A11"/>
    <w:rsid w:val="006D4FAF"/>
    <w:rsid w:val="006E0E3D"/>
    <w:rsid w:val="006E4243"/>
    <w:rsid w:val="006F2DD2"/>
    <w:rsid w:val="006F4BD2"/>
    <w:rsid w:val="00700384"/>
    <w:rsid w:val="00703EF1"/>
    <w:rsid w:val="007055BB"/>
    <w:rsid w:val="00705C96"/>
    <w:rsid w:val="007130EC"/>
    <w:rsid w:val="00737867"/>
    <w:rsid w:val="00743A05"/>
    <w:rsid w:val="007477E5"/>
    <w:rsid w:val="00756665"/>
    <w:rsid w:val="00760014"/>
    <w:rsid w:val="00763642"/>
    <w:rsid w:val="00764FB1"/>
    <w:rsid w:val="007713D9"/>
    <w:rsid w:val="00774258"/>
    <w:rsid w:val="00775241"/>
    <w:rsid w:val="007844F3"/>
    <w:rsid w:val="00793C49"/>
    <w:rsid w:val="00794DE0"/>
    <w:rsid w:val="00795241"/>
    <w:rsid w:val="007958E0"/>
    <w:rsid w:val="007A5207"/>
    <w:rsid w:val="007C0811"/>
    <w:rsid w:val="007C2CDB"/>
    <w:rsid w:val="007C50CD"/>
    <w:rsid w:val="007C6907"/>
    <w:rsid w:val="007D018E"/>
    <w:rsid w:val="007D632D"/>
    <w:rsid w:val="007D7861"/>
    <w:rsid w:val="007E01CE"/>
    <w:rsid w:val="007E79BB"/>
    <w:rsid w:val="007F6AC1"/>
    <w:rsid w:val="008114C9"/>
    <w:rsid w:val="008225E6"/>
    <w:rsid w:val="00827C44"/>
    <w:rsid w:val="008314C2"/>
    <w:rsid w:val="00831C94"/>
    <w:rsid w:val="008423D8"/>
    <w:rsid w:val="00847D25"/>
    <w:rsid w:val="00853B6D"/>
    <w:rsid w:val="00857F9A"/>
    <w:rsid w:val="00861151"/>
    <w:rsid w:val="00863BBB"/>
    <w:rsid w:val="00866B16"/>
    <w:rsid w:val="00866CE8"/>
    <w:rsid w:val="00870FD6"/>
    <w:rsid w:val="00872790"/>
    <w:rsid w:val="00873F68"/>
    <w:rsid w:val="00876310"/>
    <w:rsid w:val="008806AB"/>
    <w:rsid w:val="00880EAC"/>
    <w:rsid w:val="00882C47"/>
    <w:rsid w:val="00886776"/>
    <w:rsid w:val="00892C16"/>
    <w:rsid w:val="00892E88"/>
    <w:rsid w:val="008C1475"/>
    <w:rsid w:val="008C3187"/>
    <w:rsid w:val="008C40C1"/>
    <w:rsid w:val="008D07CD"/>
    <w:rsid w:val="008D3591"/>
    <w:rsid w:val="008E1399"/>
    <w:rsid w:val="008E4275"/>
    <w:rsid w:val="008E5173"/>
    <w:rsid w:val="008E7413"/>
    <w:rsid w:val="008F5AF4"/>
    <w:rsid w:val="008F6210"/>
    <w:rsid w:val="009015FA"/>
    <w:rsid w:val="00904D25"/>
    <w:rsid w:val="009101E6"/>
    <w:rsid w:val="0091173C"/>
    <w:rsid w:val="009214C4"/>
    <w:rsid w:val="00923997"/>
    <w:rsid w:val="00927E8C"/>
    <w:rsid w:val="009308CB"/>
    <w:rsid w:val="00930B9B"/>
    <w:rsid w:val="00943DD2"/>
    <w:rsid w:val="00951787"/>
    <w:rsid w:val="00954CAF"/>
    <w:rsid w:val="00955080"/>
    <w:rsid w:val="00957C71"/>
    <w:rsid w:val="00962F85"/>
    <w:rsid w:val="0096469E"/>
    <w:rsid w:val="00964AC9"/>
    <w:rsid w:val="00965C72"/>
    <w:rsid w:val="009666A4"/>
    <w:rsid w:val="00966805"/>
    <w:rsid w:val="0096705F"/>
    <w:rsid w:val="009671F4"/>
    <w:rsid w:val="00967C94"/>
    <w:rsid w:val="00973F38"/>
    <w:rsid w:val="009772C4"/>
    <w:rsid w:val="00985CE3"/>
    <w:rsid w:val="0098612F"/>
    <w:rsid w:val="009973BB"/>
    <w:rsid w:val="009A24FE"/>
    <w:rsid w:val="009A5DF1"/>
    <w:rsid w:val="009B7085"/>
    <w:rsid w:val="009C0702"/>
    <w:rsid w:val="009D1142"/>
    <w:rsid w:val="009E1DBD"/>
    <w:rsid w:val="009F546C"/>
    <w:rsid w:val="00A10E7F"/>
    <w:rsid w:val="00A15A51"/>
    <w:rsid w:val="00A163E2"/>
    <w:rsid w:val="00A2514F"/>
    <w:rsid w:val="00A3274C"/>
    <w:rsid w:val="00A335C0"/>
    <w:rsid w:val="00A34B68"/>
    <w:rsid w:val="00A37834"/>
    <w:rsid w:val="00A41BC1"/>
    <w:rsid w:val="00A429E6"/>
    <w:rsid w:val="00A42BAF"/>
    <w:rsid w:val="00A445F4"/>
    <w:rsid w:val="00A47E12"/>
    <w:rsid w:val="00A50C7F"/>
    <w:rsid w:val="00A510AB"/>
    <w:rsid w:val="00A51210"/>
    <w:rsid w:val="00A51E2B"/>
    <w:rsid w:val="00A52799"/>
    <w:rsid w:val="00A57661"/>
    <w:rsid w:val="00A6242C"/>
    <w:rsid w:val="00A672F6"/>
    <w:rsid w:val="00A738F6"/>
    <w:rsid w:val="00A7593D"/>
    <w:rsid w:val="00A85139"/>
    <w:rsid w:val="00A9234A"/>
    <w:rsid w:val="00A9393A"/>
    <w:rsid w:val="00AA4883"/>
    <w:rsid w:val="00AA5DCB"/>
    <w:rsid w:val="00AA6448"/>
    <w:rsid w:val="00AA6560"/>
    <w:rsid w:val="00AA6986"/>
    <w:rsid w:val="00AB0CB1"/>
    <w:rsid w:val="00AC7D89"/>
    <w:rsid w:val="00AD6FE5"/>
    <w:rsid w:val="00AE2B2C"/>
    <w:rsid w:val="00AE7136"/>
    <w:rsid w:val="00B00068"/>
    <w:rsid w:val="00B0024C"/>
    <w:rsid w:val="00B03220"/>
    <w:rsid w:val="00B06492"/>
    <w:rsid w:val="00B07D37"/>
    <w:rsid w:val="00B112F8"/>
    <w:rsid w:val="00B13FA5"/>
    <w:rsid w:val="00B15023"/>
    <w:rsid w:val="00B20829"/>
    <w:rsid w:val="00B2145B"/>
    <w:rsid w:val="00B3070F"/>
    <w:rsid w:val="00B31ECA"/>
    <w:rsid w:val="00B44F01"/>
    <w:rsid w:val="00B459C5"/>
    <w:rsid w:val="00B5151F"/>
    <w:rsid w:val="00B56D93"/>
    <w:rsid w:val="00B5779B"/>
    <w:rsid w:val="00B62032"/>
    <w:rsid w:val="00B66B47"/>
    <w:rsid w:val="00B67A6D"/>
    <w:rsid w:val="00B703E6"/>
    <w:rsid w:val="00B8324B"/>
    <w:rsid w:val="00B83C7E"/>
    <w:rsid w:val="00B87900"/>
    <w:rsid w:val="00B9125C"/>
    <w:rsid w:val="00B9434B"/>
    <w:rsid w:val="00BA3025"/>
    <w:rsid w:val="00BA5DB9"/>
    <w:rsid w:val="00BA6851"/>
    <w:rsid w:val="00BB5D1E"/>
    <w:rsid w:val="00BC214C"/>
    <w:rsid w:val="00BC24B8"/>
    <w:rsid w:val="00BD02D8"/>
    <w:rsid w:val="00BD0BD9"/>
    <w:rsid w:val="00BD16A3"/>
    <w:rsid w:val="00BD5B66"/>
    <w:rsid w:val="00BE06DE"/>
    <w:rsid w:val="00BE1856"/>
    <w:rsid w:val="00BE4657"/>
    <w:rsid w:val="00C00273"/>
    <w:rsid w:val="00C018A4"/>
    <w:rsid w:val="00C0256F"/>
    <w:rsid w:val="00C04FE8"/>
    <w:rsid w:val="00C140FB"/>
    <w:rsid w:val="00C22920"/>
    <w:rsid w:val="00C254B2"/>
    <w:rsid w:val="00C26FC2"/>
    <w:rsid w:val="00C30225"/>
    <w:rsid w:val="00C3168E"/>
    <w:rsid w:val="00C331ED"/>
    <w:rsid w:val="00C3727E"/>
    <w:rsid w:val="00C414A9"/>
    <w:rsid w:val="00C42C7D"/>
    <w:rsid w:val="00C43613"/>
    <w:rsid w:val="00C65E70"/>
    <w:rsid w:val="00C7048B"/>
    <w:rsid w:val="00C80BA7"/>
    <w:rsid w:val="00C83BD5"/>
    <w:rsid w:val="00C84BC3"/>
    <w:rsid w:val="00C86625"/>
    <w:rsid w:val="00C868B0"/>
    <w:rsid w:val="00C91BBB"/>
    <w:rsid w:val="00CA2C81"/>
    <w:rsid w:val="00CA30FB"/>
    <w:rsid w:val="00CA59DE"/>
    <w:rsid w:val="00CB5905"/>
    <w:rsid w:val="00CD1D67"/>
    <w:rsid w:val="00CD2F7D"/>
    <w:rsid w:val="00CF4C0D"/>
    <w:rsid w:val="00D01278"/>
    <w:rsid w:val="00D12BCC"/>
    <w:rsid w:val="00D20275"/>
    <w:rsid w:val="00D27B70"/>
    <w:rsid w:val="00D3197F"/>
    <w:rsid w:val="00D355FD"/>
    <w:rsid w:val="00D42012"/>
    <w:rsid w:val="00D4571F"/>
    <w:rsid w:val="00D458E5"/>
    <w:rsid w:val="00D47FB5"/>
    <w:rsid w:val="00D51BBE"/>
    <w:rsid w:val="00D6128A"/>
    <w:rsid w:val="00D62F7A"/>
    <w:rsid w:val="00D6797D"/>
    <w:rsid w:val="00D77070"/>
    <w:rsid w:val="00D83695"/>
    <w:rsid w:val="00D932D7"/>
    <w:rsid w:val="00DA0C24"/>
    <w:rsid w:val="00DA7370"/>
    <w:rsid w:val="00DA7E30"/>
    <w:rsid w:val="00DB5B8B"/>
    <w:rsid w:val="00DC36B3"/>
    <w:rsid w:val="00DD0BE0"/>
    <w:rsid w:val="00DD2DF4"/>
    <w:rsid w:val="00DD753D"/>
    <w:rsid w:val="00DD7C88"/>
    <w:rsid w:val="00DF07A5"/>
    <w:rsid w:val="00DF222C"/>
    <w:rsid w:val="00DF634B"/>
    <w:rsid w:val="00E01692"/>
    <w:rsid w:val="00E02030"/>
    <w:rsid w:val="00E11A56"/>
    <w:rsid w:val="00E176EA"/>
    <w:rsid w:val="00E17E1A"/>
    <w:rsid w:val="00E21498"/>
    <w:rsid w:val="00E2496B"/>
    <w:rsid w:val="00E26E9D"/>
    <w:rsid w:val="00E43686"/>
    <w:rsid w:val="00E52F76"/>
    <w:rsid w:val="00E54F8B"/>
    <w:rsid w:val="00E61851"/>
    <w:rsid w:val="00E67ADF"/>
    <w:rsid w:val="00E74C4A"/>
    <w:rsid w:val="00E8031E"/>
    <w:rsid w:val="00E81579"/>
    <w:rsid w:val="00E84CD5"/>
    <w:rsid w:val="00E8664C"/>
    <w:rsid w:val="00E873C7"/>
    <w:rsid w:val="00E9080C"/>
    <w:rsid w:val="00E91360"/>
    <w:rsid w:val="00E92316"/>
    <w:rsid w:val="00E95FFF"/>
    <w:rsid w:val="00E979B7"/>
    <w:rsid w:val="00E97C4A"/>
    <w:rsid w:val="00EA058C"/>
    <w:rsid w:val="00EA1B98"/>
    <w:rsid w:val="00EA503C"/>
    <w:rsid w:val="00EA559E"/>
    <w:rsid w:val="00EA67F3"/>
    <w:rsid w:val="00EB4429"/>
    <w:rsid w:val="00EB66F8"/>
    <w:rsid w:val="00EC0201"/>
    <w:rsid w:val="00EC18FE"/>
    <w:rsid w:val="00EC4B24"/>
    <w:rsid w:val="00EC7428"/>
    <w:rsid w:val="00ED1239"/>
    <w:rsid w:val="00ED4FAA"/>
    <w:rsid w:val="00ED65BE"/>
    <w:rsid w:val="00EE1C17"/>
    <w:rsid w:val="00EF04C8"/>
    <w:rsid w:val="00EF2B7A"/>
    <w:rsid w:val="00F05514"/>
    <w:rsid w:val="00F1384A"/>
    <w:rsid w:val="00F15845"/>
    <w:rsid w:val="00F23F1D"/>
    <w:rsid w:val="00F24A22"/>
    <w:rsid w:val="00F37D32"/>
    <w:rsid w:val="00F47512"/>
    <w:rsid w:val="00F47FB1"/>
    <w:rsid w:val="00F62D6B"/>
    <w:rsid w:val="00F64642"/>
    <w:rsid w:val="00F72B53"/>
    <w:rsid w:val="00F75E87"/>
    <w:rsid w:val="00F76805"/>
    <w:rsid w:val="00F82D9D"/>
    <w:rsid w:val="00F85088"/>
    <w:rsid w:val="00F90697"/>
    <w:rsid w:val="00F924A3"/>
    <w:rsid w:val="00F9715D"/>
    <w:rsid w:val="00FA12F1"/>
    <w:rsid w:val="00FA37ED"/>
    <w:rsid w:val="00FB344E"/>
    <w:rsid w:val="00FB4E4F"/>
    <w:rsid w:val="00FC39E2"/>
    <w:rsid w:val="00FC585A"/>
    <w:rsid w:val="00FC757E"/>
    <w:rsid w:val="00FD274D"/>
    <w:rsid w:val="00FE42F4"/>
    <w:rsid w:val="00FF12AF"/>
    <w:rsid w:val="00FF258C"/>
    <w:rsid w:val="01086C64"/>
    <w:rsid w:val="016245C6"/>
    <w:rsid w:val="017E0CD4"/>
    <w:rsid w:val="019D55FE"/>
    <w:rsid w:val="01D86637"/>
    <w:rsid w:val="01F176F8"/>
    <w:rsid w:val="01F62F61"/>
    <w:rsid w:val="02247ACE"/>
    <w:rsid w:val="026305F6"/>
    <w:rsid w:val="02777BFD"/>
    <w:rsid w:val="027F6AB2"/>
    <w:rsid w:val="02B56978"/>
    <w:rsid w:val="02C72207"/>
    <w:rsid w:val="02CF7A3A"/>
    <w:rsid w:val="02DA018C"/>
    <w:rsid w:val="02F54FC6"/>
    <w:rsid w:val="03065425"/>
    <w:rsid w:val="03092820"/>
    <w:rsid w:val="030D0562"/>
    <w:rsid w:val="031511C4"/>
    <w:rsid w:val="03253AFD"/>
    <w:rsid w:val="03280EF8"/>
    <w:rsid w:val="0350044F"/>
    <w:rsid w:val="03511AD9"/>
    <w:rsid w:val="03716D43"/>
    <w:rsid w:val="03942A31"/>
    <w:rsid w:val="03A367D0"/>
    <w:rsid w:val="03AC7D7B"/>
    <w:rsid w:val="03AF1619"/>
    <w:rsid w:val="03B7227C"/>
    <w:rsid w:val="03B94246"/>
    <w:rsid w:val="04447FB3"/>
    <w:rsid w:val="04675A50"/>
    <w:rsid w:val="046B3792"/>
    <w:rsid w:val="04784101"/>
    <w:rsid w:val="047A00BD"/>
    <w:rsid w:val="04AC7907"/>
    <w:rsid w:val="04AD3DAA"/>
    <w:rsid w:val="04B54A0D"/>
    <w:rsid w:val="04B70785"/>
    <w:rsid w:val="04C609C8"/>
    <w:rsid w:val="04D37589"/>
    <w:rsid w:val="04FD0162"/>
    <w:rsid w:val="05080FE1"/>
    <w:rsid w:val="052D4EEB"/>
    <w:rsid w:val="05445D91"/>
    <w:rsid w:val="055B3806"/>
    <w:rsid w:val="05793C8D"/>
    <w:rsid w:val="058663AA"/>
    <w:rsid w:val="05917228"/>
    <w:rsid w:val="05940AC6"/>
    <w:rsid w:val="05997E8B"/>
    <w:rsid w:val="05C313AC"/>
    <w:rsid w:val="05E01F5E"/>
    <w:rsid w:val="060A6FDB"/>
    <w:rsid w:val="061B11E8"/>
    <w:rsid w:val="063302DF"/>
    <w:rsid w:val="0639341C"/>
    <w:rsid w:val="063D2F0C"/>
    <w:rsid w:val="06426774"/>
    <w:rsid w:val="065D535C"/>
    <w:rsid w:val="0660207E"/>
    <w:rsid w:val="06C74ECC"/>
    <w:rsid w:val="06D3561E"/>
    <w:rsid w:val="06E415DA"/>
    <w:rsid w:val="06F25C1E"/>
    <w:rsid w:val="0721638A"/>
    <w:rsid w:val="072440CC"/>
    <w:rsid w:val="07414C7E"/>
    <w:rsid w:val="07434552"/>
    <w:rsid w:val="075C3866"/>
    <w:rsid w:val="07634BF4"/>
    <w:rsid w:val="0777244E"/>
    <w:rsid w:val="07832BA1"/>
    <w:rsid w:val="07941252"/>
    <w:rsid w:val="07A64AE1"/>
    <w:rsid w:val="07B0770E"/>
    <w:rsid w:val="07B94814"/>
    <w:rsid w:val="07BC60B3"/>
    <w:rsid w:val="07ED44BE"/>
    <w:rsid w:val="07F65A68"/>
    <w:rsid w:val="07FD6DF7"/>
    <w:rsid w:val="07FE491D"/>
    <w:rsid w:val="0822060B"/>
    <w:rsid w:val="08493DEA"/>
    <w:rsid w:val="085D5AE7"/>
    <w:rsid w:val="087C3485"/>
    <w:rsid w:val="087D5842"/>
    <w:rsid w:val="08BE235F"/>
    <w:rsid w:val="08D833C0"/>
    <w:rsid w:val="08DB07BA"/>
    <w:rsid w:val="08ED6E6B"/>
    <w:rsid w:val="09047D11"/>
    <w:rsid w:val="09077801"/>
    <w:rsid w:val="090E6DE2"/>
    <w:rsid w:val="091343F8"/>
    <w:rsid w:val="091F2D9D"/>
    <w:rsid w:val="093305F6"/>
    <w:rsid w:val="093F343F"/>
    <w:rsid w:val="094822F4"/>
    <w:rsid w:val="09526CCE"/>
    <w:rsid w:val="0958005D"/>
    <w:rsid w:val="09B01C47"/>
    <w:rsid w:val="09D43B87"/>
    <w:rsid w:val="09EB0ED1"/>
    <w:rsid w:val="0A002A88"/>
    <w:rsid w:val="0A656ED5"/>
    <w:rsid w:val="0A6C2012"/>
    <w:rsid w:val="0A7315F2"/>
    <w:rsid w:val="0A764C3F"/>
    <w:rsid w:val="0AA01CBB"/>
    <w:rsid w:val="0AA7304A"/>
    <w:rsid w:val="0ACB616E"/>
    <w:rsid w:val="0ADD6A6C"/>
    <w:rsid w:val="0AE222D4"/>
    <w:rsid w:val="0AF049F1"/>
    <w:rsid w:val="0B185CF6"/>
    <w:rsid w:val="0B246449"/>
    <w:rsid w:val="0B2C17A1"/>
    <w:rsid w:val="0B446AEB"/>
    <w:rsid w:val="0B8213C1"/>
    <w:rsid w:val="0B8E7D66"/>
    <w:rsid w:val="0B901D30"/>
    <w:rsid w:val="0B903ADE"/>
    <w:rsid w:val="0BC1638D"/>
    <w:rsid w:val="0BC35C62"/>
    <w:rsid w:val="0BD31C1D"/>
    <w:rsid w:val="0BD80EA7"/>
    <w:rsid w:val="0BD95485"/>
    <w:rsid w:val="0BE67BA2"/>
    <w:rsid w:val="0BEC5BDC"/>
    <w:rsid w:val="0C0A3890"/>
    <w:rsid w:val="0C197F77"/>
    <w:rsid w:val="0C2661F0"/>
    <w:rsid w:val="0C281F69"/>
    <w:rsid w:val="0C34090D"/>
    <w:rsid w:val="0C394176"/>
    <w:rsid w:val="0C590374"/>
    <w:rsid w:val="0C5C7E64"/>
    <w:rsid w:val="0C5E3BDC"/>
    <w:rsid w:val="0C7156BE"/>
    <w:rsid w:val="0C8A2C23"/>
    <w:rsid w:val="0CAF268A"/>
    <w:rsid w:val="0CB90E13"/>
    <w:rsid w:val="0CC223BD"/>
    <w:rsid w:val="0CCC6D98"/>
    <w:rsid w:val="0CE2480D"/>
    <w:rsid w:val="0D352B8F"/>
    <w:rsid w:val="0D576FA9"/>
    <w:rsid w:val="0D5C45C0"/>
    <w:rsid w:val="0D782A7C"/>
    <w:rsid w:val="0D7A67F4"/>
    <w:rsid w:val="0DA63A8D"/>
    <w:rsid w:val="0DB937C0"/>
    <w:rsid w:val="0DC43F13"/>
    <w:rsid w:val="0DC83A03"/>
    <w:rsid w:val="0DD00B0A"/>
    <w:rsid w:val="0DF76096"/>
    <w:rsid w:val="0E0E518E"/>
    <w:rsid w:val="0E1327A4"/>
    <w:rsid w:val="0E15651D"/>
    <w:rsid w:val="0E26697C"/>
    <w:rsid w:val="0E3B2427"/>
    <w:rsid w:val="0E3C75E8"/>
    <w:rsid w:val="0E43752E"/>
    <w:rsid w:val="0E4709CC"/>
    <w:rsid w:val="0E6C0832"/>
    <w:rsid w:val="0E71409B"/>
    <w:rsid w:val="0E7C659C"/>
    <w:rsid w:val="0E8536A2"/>
    <w:rsid w:val="0E925DBF"/>
    <w:rsid w:val="0EB63A2E"/>
    <w:rsid w:val="0EC87A33"/>
    <w:rsid w:val="0ED308B1"/>
    <w:rsid w:val="0EF95E3E"/>
    <w:rsid w:val="0F052A35"/>
    <w:rsid w:val="0F317386"/>
    <w:rsid w:val="0F4C41C0"/>
    <w:rsid w:val="0F607C6B"/>
    <w:rsid w:val="0F911464"/>
    <w:rsid w:val="0FAB538A"/>
    <w:rsid w:val="0FB26719"/>
    <w:rsid w:val="0FBD67DF"/>
    <w:rsid w:val="0FC621C4"/>
    <w:rsid w:val="0FEB39D9"/>
    <w:rsid w:val="100625C1"/>
    <w:rsid w:val="10280789"/>
    <w:rsid w:val="104D4694"/>
    <w:rsid w:val="1065378B"/>
    <w:rsid w:val="10725EA8"/>
    <w:rsid w:val="107A6B0B"/>
    <w:rsid w:val="10861954"/>
    <w:rsid w:val="108D2CE2"/>
    <w:rsid w:val="10987C91"/>
    <w:rsid w:val="109C2F25"/>
    <w:rsid w:val="10AC13BA"/>
    <w:rsid w:val="10C34956"/>
    <w:rsid w:val="10D66437"/>
    <w:rsid w:val="10D95F27"/>
    <w:rsid w:val="10DB57FB"/>
    <w:rsid w:val="10E8616A"/>
    <w:rsid w:val="11146F5F"/>
    <w:rsid w:val="111B209C"/>
    <w:rsid w:val="11252F1A"/>
    <w:rsid w:val="115455AE"/>
    <w:rsid w:val="11845E93"/>
    <w:rsid w:val="11B12A00"/>
    <w:rsid w:val="11F052D6"/>
    <w:rsid w:val="121216F1"/>
    <w:rsid w:val="12154D3D"/>
    <w:rsid w:val="121D1E44"/>
    <w:rsid w:val="122136E2"/>
    <w:rsid w:val="12282CC2"/>
    <w:rsid w:val="12485112"/>
    <w:rsid w:val="127759F8"/>
    <w:rsid w:val="12AD1419"/>
    <w:rsid w:val="12B75DF4"/>
    <w:rsid w:val="12DC585B"/>
    <w:rsid w:val="12E82452"/>
    <w:rsid w:val="12FE7EC7"/>
    <w:rsid w:val="132C67E2"/>
    <w:rsid w:val="134A310C"/>
    <w:rsid w:val="13A10F7E"/>
    <w:rsid w:val="13A520F1"/>
    <w:rsid w:val="13BC62A4"/>
    <w:rsid w:val="13D529D6"/>
    <w:rsid w:val="13E1581F"/>
    <w:rsid w:val="14005579"/>
    <w:rsid w:val="141554C8"/>
    <w:rsid w:val="14180B15"/>
    <w:rsid w:val="141D25CF"/>
    <w:rsid w:val="1424395D"/>
    <w:rsid w:val="142B6A9A"/>
    <w:rsid w:val="144813FA"/>
    <w:rsid w:val="144B713C"/>
    <w:rsid w:val="14740441"/>
    <w:rsid w:val="148D32B1"/>
    <w:rsid w:val="14B46A8F"/>
    <w:rsid w:val="14D902A4"/>
    <w:rsid w:val="14E54E9B"/>
    <w:rsid w:val="14EB6229"/>
    <w:rsid w:val="15051099"/>
    <w:rsid w:val="150F1F18"/>
    <w:rsid w:val="15145780"/>
    <w:rsid w:val="15325C06"/>
    <w:rsid w:val="155913E5"/>
    <w:rsid w:val="157F52EF"/>
    <w:rsid w:val="15910B7E"/>
    <w:rsid w:val="159863B1"/>
    <w:rsid w:val="15A24B3A"/>
    <w:rsid w:val="15B036FB"/>
    <w:rsid w:val="15B8610B"/>
    <w:rsid w:val="15B900D5"/>
    <w:rsid w:val="15C34AB0"/>
    <w:rsid w:val="15DE2644"/>
    <w:rsid w:val="15DF5D8E"/>
    <w:rsid w:val="15E50ECA"/>
    <w:rsid w:val="15F1786F"/>
    <w:rsid w:val="15FC6940"/>
    <w:rsid w:val="163D0D06"/>
    <w:rsid w:val="1666025D"/>
    <w:rsid w:val="166D15EC"/>
    <w:rsid w:val="16766853"/>
    <w:rsid w:val="169326D4"/>
    <w:rsid w:val="16AD3796"/>
    <w:rsid w:val="16C531D6"/>
    <w:rsid w:val="16C64858"/>
    <w:rsid w:val="16DA6555"/>
    <w:rsid w:val="16E86EC4"/>
    <w:rsid w:val="16EA2C3C"/>
    <w:rsid w:val="16F07B27"/>
    <w:rsid w:val="16FE0496"/>
    <w:rsid w:val="17101F77"/>
    <w:rsid w:val="171C091C"/>
    <w:rsid w:val="1735378C"/>
    <w:rsid w:val="173B6FF4"/>
    <w:rsid w:val="17516817"/>
    <w:rsid w:val="175D340E"/>
    <w:rsid w:val="17620A24"/>
    <w:rsid w:val="17681DB3"/>
    <w:rsid w:val="177C13BA"/>
    <w:rsid w:val="177D585E"/>
    <w:rsid w:val="17822E75"/>
    <w:rsid w:val="178D35C8"/>
    <w:rsid w:val="17957C6D"/>
    <w:rsid w:val="179E57D5"/>
    <w:rsid w:val="17A032FB"/>
    <w:rsid w:val="17C27715"/>
    <w:rsid w:val="17CA0378"/>
    <w:rsid w:val="180970F2"/>
    <w:rsid w:val="180B10BC"/>
    <w:rsid w:val="1816180F"/>
    <w:rsid w:val="181A12FF"/>
    <w:rsid w:val="182757CA"/>
    <w:rsid w:val="185C1918"/>
    <w:rsid w:val="185D2F9A"/>
    <w:rsid w:val="18A46E1B"/>
    <w:rsid w:val="18B2778A"/>
    <w:rsid w:val="18BA663E"/>
    <w:rsid w:val="18C82B09"/>
    <w:rsid w:val="18DA0A8E"/>
    <w:rsid w:val="18E35B95"/>
    <w:rsid w:val="18ED2570"/>
    <w:rsid w:val="18FF22A3"/>
    <w:rsid w:val="1901601B"/>
    <w:rsid w:val="19265A82"/>
    <w:rsid w:val="19297320"/>
    <w:rsid w:val="193C6F41"/>
    <w:rsid w:val="19706CFD"/>
    <w:rsid w:val="197F0881"/>
    <w:rsid w:val="19924EC5"/>
    <w:rsid w:val="199649B5"/>
    <w:rsid w:val="199C5D44"/>
    <w:rsid w:val="19C01A32"/>
    <w:rsid w:val="19D83220"/>
    <w:rsid w:val="19E27BFB"/>
    <w:rsid w:val="19EF056A"/>
    <w:rsid w:val="1A073B05"/>
    <w:rsid w:val="1A187AC0"/>
    <w:rsid w:val="1A246465"/>
    <w:rsid w:val="1A271AB1"/>
    <w:rsid w:val="1A3A17E5"/>
    <w:rsid w:val="1A473F02"/>
    <w:rsid w:val="1A8B0292"/>
    <w:rsid w:val="1A8B64E4"/>
    <w:rsid w:val="1A9D7FC6"/>
    <w:rsid w:val="1AA44EB0"/>
    <w:rsid w:val="1AAE5D2F"/>
    <w:rsid w:val="1AB53561"/>
    <w:rsid w:val="1AF75928"/>
    <w:rsid w:val="1AFC1190"/>
    <w:rsid w:val="1B0342CC"/>
    <w:rsid w:val="1B043BA1"/>
    <w:rsid w:val="1B0D6EF9"/>
    <w:rsid w:val="1B1C538E"/>
    <w:rsid w:val="1B2F50C2"/>
    <w:rsid w:val="1B391A9C"/>
    <w:rsid w:val="1B414DF5"/>
    <w:rsid w:val="1B5468D6"/>
    <w:rsid w:val="1B650AE3"/>
    <w:rsid w:val="1B740D26"/>
    <w:rsid w:val="1B7F1479"/>
    <w:rsid w:val="1BA3160C"/>
    <w:rsid w:val="1BB43819"/>
    <w:rsid w:val="1BBE4697"/>
    <w:rsid w:val="1BC31CAE"/>
    <w:rsid w:val="1BCC2910"/>
    <w:rsid w:val="1BCF0653"/>
    <w:rsid w:val="1BD76124"/>
    <w:rsid w:val="1BEC2FB3"/>
    <w:rsid w:val="1BEF2D2A"/>
    <w:rsid w:val="1BFB4FA4"/>
    <w:rsid w:val="1C297D63"/>
    <w:rsid w:val="1C2F2E9F"/>
    <w:rsid w:val="1C422BD3"/>
    <w:rsid w:val="1C4F52EF"/>
    <w:rsid w:val="1C735482"/>
    <w:rsid w:val="1C8C20A0"/>
    <w:rsid w:val="1CA4388D"/>
    <w:rsid w:val="1CA4563B"/>
    <w:rsid w:val="1CA87CF9"/>
    <w:rsid w:val="1CB3587E"/>
    <w:rsid w:val="1CBF4223"/>
    <w:rsid w:val="1CDD0B4D"/>
    <w:rsid w:val="1CF814E3"/>
    <w:rsid w:val="1D061E52"/>
    <w:rsid w:val="1D0936F0"/>
    <w:rsid w:val="1D1C3424"/>
    <w:rsid w:val="1D4D5CD3"/>
    <w:rsid w:val="1D682B0D"/>
    <w:rsid w:val="1D6B6159"/>
    <w:rsid w:val="1D7C3EC2"/>
    <w:rsid w:val="1D9D020E"/>
    <w:rsid w:val="1DA90A2F"/>
    <w:rsid w:val="1DAF24EA"/>
    <w:rsid w:val="1DE06B47"/>
    <w:rsid w:val="1DE877AA"/>
    <w:rsid w:val="1DFB572F"/>
    <w:rsid w:val="1E171E3D"/>
    <w:rsid w:val="1E1E141D"/>
    <w:rsid w:val="1E1E766F"/>
    <w:rsid w:val="1E4662B3"/>
    <w:rsid w:val="1E543091"/>
    <w:rsid w:val="1E5933F2"/>
    <w:rsid w:val="1E5B61CE"/>
    <w:rsid w:val="1E6A4663"/>
    <w:rsid w:val="1E796654"/>
    <w:rsid w:val="1ECE074D"/>
    <w:rsid w:val="1EDF295B"/>
    <w:rsid w:val="1F1F369F"/>
    <w:rsid w:val="1F2B3DF2"/>
    <w:rsid w:val="1F3802BD"/>
    <w:rsid w:val="1F751511"/>
    <w:rsid w:val="1F813A12"/>
    <w:rsid w:val="1F8359DC"/>
    <w:rsid w:val="1F9A0F77"/>
    <w:rsid w:val="1F9C084C"/>
    <w:rsid w:val="1FA92F69"/>
    <w:rsid w:val="1FB738D7"/>
    <w:rsid w:val="1FBB15B6"/>
    <w:rsid w:val="1FCF0C21"/>
    <w:rsid w:val="1FD04999"/>
    <w:rsid w:val="200603BB"/>
    <w:rsid w:val="200F7270"/>
    <w:rsid w:val="206C6470"/>
    <w:rsid w:val="208D63E6"/>
    <w:rsid w:val="20C41134"/>
    <w:rsid w:val="20C75D9C"/>
    <w:rsid w:val="20E029BA"/>
    <w:rsid w:val="20F16975"/>
    <w:rsid w:val="20FA1CCE"/>
    <w:rsid w:val="212C3E51"/>
    <w:rsid w:val="21442F49"/>
    <w:rsid w:val="214D44F3"/>
    <w:rsid w:val="215238B8"/>
    <w:rsid w:val="216655B5"/>
    <w:rsid w:val="216B6728"/>
    <w:rsid w:val="216E6218"/>
    <w:rsid w:val="21A34113"/>
    <w:rsid w:val="21AB2FC8"/>
    <w:rsid w:val="21AB746C"/>
    <w:rsid w:val="21B55BF5"/>
    <w:rsid w:val="21CB18BC"/>
    <w:rsid w:val="21D20555"/>
    <w:rsid w:val="21F11323"/>
    <w:rsid w:val="220426D8"/>
    <w:rsid w:val="220A5F40"/>
    <w:rsid w:val="221B014E"/>
    <w:rsid w:val="221C2118"/>
    <w:rsid w:val="22325497"/>
    <w:rsid w:val="22460F43"/>
    <w:rsid w:val="224D22D1"/>
    <w:rsid w:val="22511DC1"/>
    <w:rsid w:val="2277734E"/>
    <w:rsid w:val="227C4BFC"/>
    <w:rsid w:val="227E248B"/>
    <w:rsid w:val="228E4DC3"/>
    <w:rsid w:val="229B303C"/>
    <w:rsid w:val="229E2B2D"/>
    <w:rsid w:val="22A41D1F"/>
    <w:rsid w:val="22A5210D"/>
    <w:rsid w:val="22AA3280"/>
    <w:rsid w:val="22B61C24"/>
    <w:rsid w:val="22C00CF5"/>
    <w:rsid w:val="22C24A6D"/>
    <w:rsid w:val="22C81958"/>
    <w:rsid w:val="22CE51C0"/>
    <w:rsid w:val="22EE7610"/>
    <w:rsid w:val="230230BC"/>
    <w:rsid w:val="235D02F2"/>
    <w:rsid w:val="23694EE9"/>
    <w:rsid w:val="2398757C"/>
    <w:rsid w:val="23A67EEB"/>
    <w:rsid w:val="23DA1943"/>
    <w:rsid w:val="24053736"/>
    <w:rsid w:val="242B6642"/>
    <w:rsid w:val="243279D1"/>
    <w:rsid w:val="2446347C"/>
    <w:rsid w:val="2452597D"/>
    <w:rsid w:val="24861ACA"/>
    <w:rsid w:val="2492221D"/>
    <w:rsid w:val="24A81A41"/>
    <w:rsid w:val="24B108F5"/>
    <w:rsid w:val="24B71C84"/>
    <w:rsid w:val="24C83E91"/>
    <w:rsid w:val="24D46CDA"/>
    <w:rsid w:val="24E94533"/>
    <w:rsid w:val="24F42ED8"/>
    <w:rsid w:val="250D7AF6"/>
    <w:rsid w:val="25396B3D"/>
    <w:rsid w:val="255A71DF"/>
    <w:rsid w:val="25757B75"/>
    <w:rsid w:val="25910727"/>
    <w:rsid w:val="259721E1"/>
    <w:rsid w:val="25973F8F"/>
    <w:rsid w:val="25C1100C"/>
    <w:rsid w:val="25F807A6"/>
    <w:rsid w:val="26031625"/>
    <w:rsid w:val="2604714B"/>
    <w:rsid w:val="264F085A"/>
    <w:rsid w:val="265A320F"/>
    <w:rsid w:val="26695200"/>
    <w:rsid w:val="266D4CF0"/>
    <w:rsid w:val="267C3185"/>
    <w:rsid w:val="26802C75"/>
    <w:rsid w:val="26AC3A6A"/>
    <w:rsid w:val="26C863CA"/>
    <w:rsid w:val="26D703BB"/>
    <w:rsid w:val="27070CA1"/>
    <w:rsid w:val="27277595"/>
    <w:rsid w:val="272950BB"/>
    <w:rsid w:val="273B3040"/>
    <w:rsid w:val="273D0B66"/>
    <w:rsid w:val="27445462"/>
    <w:rsid w:val="27735B86"/>
    <w:rsid w:val="278E3170"/>
    <w:rsid w:val="27AB3D22"/>
    <w:rsid w:val="27B150B0"/>
    <w:rsid w:val="27B34984"/>
    <w:rsid w:val="27B54BA0"/>
    <w:rsid w:val="27BF3329"/>
    <w:rsid w:val="27D019DA"/>
    <w:rsid w:val="27F8683B"/>
    <w:rsid w:val="28060F58"/>
    <w:rsid w:val="28174CD6"/>
    <w:rsid w:val="28180C8B"/>
    <w:rsid w:val="281E2746"/>
    <w:rsid w:val="28235FAE"/>
    <w:rsid w:val="282D2989"/>
    <w:rsid w:val="284D302B"/>
    <w:rsid w:val="286E4D4F"/>
    <w:rsid w:val="28C11127"/>
    <w:rsid w:val="28C66939"/>
    <w:rsid w:val="29033534"/>
    <w:rsid w:val="290A2CCA"/>
    <w:rsid w:val="29210AC9"/>
    <w:rsid w:val="2927387C"/>
    <w:rsid w:val="292C2C40"/>
    <w:rsid w:val="29514455"/>
    <w:rsid w:val="295B1778"/>
    <w:rsid w:val="297665B1"/>
    <w:rsid w:val="299D3B3E"/>
    <w:rsid w:val="29B36EBE"/>
    <w:rsid w:val="29B449E4"/>
    <w:rsid w:val="29D05CC2"/>
    <w:rsid w:val="29D37560"/>
    <w:rsid w:val="29D532D8"/>
    <w:rsid w:val="29E4176D"/>
    <w:rsid w:val="29FD282F"/>
    <w:rsid w:val="2A0B48B8"/>
    <w:rsid w:val="2A5C7555"/>
    <w:rsid w:val="2A663F30"/>
    <w:rsid w:val="2AA902C1"/>
    <w:rsid w:val="2AAC3FCD"/>
    <w:rsid w:val="2AC82E3D"/>
    <w:rsid w:val="2ACC3B7F"/>
    <w:rsid w:val="2AD031EF"/>
    <w:rsid w:val="2AE45217"/>
    <w:rsid w:val="2B053749"/>
    <w:rsid w:val="2B065713"/>
    <w:rsid w:val="2B0D0850"/>
    <w:rsid w:val="2B17347C"/>
    <w:rsid w:val="2B397896"/>
    <w:rsid w:val="2B5B15BB"/>
    <w:rsid w:val="2BA271EA"/>
    <w:rsid w:val="2BAF7B59"/>
    <w:rsid w:val="2BB67139"/>
    <w:rsid w:val="2BC03B14"/>
    <w:rsid w:val="2BFF63EA"/>
    <w:rsid w:val="2C025EDA"/>
    <w:rsid w:val="2C210A56"/>
    <w:rsid w:val="2C2E3173"/>
    <w:rsid w:val="2C324A12"/>
    <w:rsid w:val="2C3B13EC"/>
    <w:rsid w:val="2C6E17C2"/>
    <w:rsid w:val="2C7F752B"/>
    <w:rsid w:val="2C931228"/>
    <w:rsid w:val="2CBA4A07"/>
    <w:rsid w:val="2CBC42DB"/>
    <w:rsid w:val="2CD535EF"/>
    <w:rsid w:val="2CF63C91"/>
    <w:rsid w:val="2D051852"/>
    <w:rsid w:val="2D12039F"/>
    <w:rsid w:val="2D3A16A4"/>
    <w:rsid w:val="2D744BB6"/>
    <w:rsid w:val="2D7B7CF2"/>
    <w:rsid w:val="2D8A6187"/>
    <w:rsid w:val="2D937732"/>
    <w:rsid w:val="2D9C5EBB"/>
    <w:rsid w:val="2D9E7E85"/>
    <w:rsid w:val="2DA76D39"/>
    <w:rsid w:val="2DBB27E5"/>
    <w:rsid w:val="2DD83397"/>
    <w:rsid w:val="2DEA131C"/>
    <w:rsid w:val="2DF61A6F"/>
    <w:rsid w:val="2DF87595"/>
    <w:rsid w:val="2DFF6B75"/>
    <w:rsid w:val="2E13617D"/>
    <w:rsid w:val="2E1A39AF"/>
    <w:rsid w:val="2E232138"/>
    <w:rsid w:val="2E2959A0"/>
    <w:rsid w:val="2E2E2FB7"/>
    <w:rsid w:val="2E47051C"/>
    <w:rsid w:val="2E4B1DBB"/>
    <w:rsid w:val="2E4C168F"/>
    <w:rsid w:val="2E514D16"/>
    <w:rsid w:val="2E8250B1"/>
    <w:rsid w:val="2E8452CD"/>
    <w:rsid w:val="2E89643F"/>
    <w:rsid w:val="2E8E7EF9"/>
    <w:rsid w:val="2E935510"/>
    <w:rsid w:val="2EA25753"/>
    <w:rsid w:val="2EC102CF"/>
    <w:rsid w:val="2F454A5C"/>
    <w:rsid w:val="2F61116A"/>
    <w:rsid w:val="2F6A44C2"/>
    <w:rsid w:val="2F7D2448"/>
    <w:rsid w:val="2F805A94"/>
    <w:rsid w:val="2F8A246F"/>
    <w:rsid w:val="2F9C03F4"/>
    <w:rsid w:val="2F9E416C"/>
    <w:rsid w:val="2FB614B6"/>
    <w:rsid w:val="2FC242FE"/>
    <w:rsid w:val="2FE778C1"/>
    <w:rsid w:val="30006BD5"/>
    <w:rsid w:val="300D4E4E"/>
    <w:rsid w:val="303D5733"/>
    <w:rsid w:val="304C3BC8"/>
    <w:rsid w:val="30562C99"/>
    <w:rsid w:val="3078676B"/>
    <w:rsid w:val="30890978"/>
    <w:rsid w:val="30D541D4"/>
    <w:rsid w:val="30E91417"/>
    <w:rsid w:val="310426F5"/>
    <w:rsid w:val="310A2F67"/>
    <w:rsid w:val="31175F84"/>
    <w:rsid w:val="31271F3F"/>
    <w:rsid w:val="31413001"/>
    <w:rsid w:val="31723B02"/>
    <w:rsid w:val="318A2BFA"/>
    <w:rsid w:val="31B732C3"/>
    <w:rsid w:val="31C0486E"/>
    <w:rsid w:val="31D04385"/>
    <w:rsid w:val="31DE2F46"/>
    <w:rsid w:val="31F14A27"/>
    <w:rsid w:val="31F938DC"/>
    <w:rsid w:val="31FE0EF2"/>
    <w:rsid w:val="322F554F"/>
    <w:rsid w:val="324A2389"/>
    <w:rsid w:val="32543208"/>
    <w:rsid w:val="3293788C"/>
    <w:rsid w:val="32990C1B"/>
    <w:rsid w:val="32BF4B25"/>
    <w:rsid w:val="32C65EB4"/>
    <w:rsid w:val="331A7FAD"/>
    <w:rsid w:val="332826CA"/>
    <w:rsid w:val="33386686"/>
    <w:rsid w:val="333F7A14"/>
    <w:rsid w:val="334B0167"/>
    <w:rsid w:val="335214F5"/>
    <w:rsid w:val="335F3C12"/>
    <w:rsid w:val="33704071"/>
    <w:rsid w:val="33745F20"/>
    <w:rsid w:val="338B2C59"/>
    <w:rsid w:val="338F274A"/>
    <w:rsid w:val="33D4015C"/>
    <w:rsid w:val="33E74334"/>
    <w:rsid w:val="33F94067"/>
    <w:rsid w:val="34050C5E"/>
    <w:rsid w:val="341D5FA7"/>
    <w:rsid w:val="341E1D1F"/>
    <w:rsid w:val="34272982"/>
    <w:rsid w:val="34802092"/>
    <w:rsid w:val="348E2A01"/>
    <w:rsid w:val="34967B08"/>
    <w:rsid w:val="349F4C0E"/>
    <w:rsid w:val="34AC732B"/>
    <w:rsid w:val="34B166F0"/>
    <w:rsid w:val="34B34216"/>
    <w:rsid w:val="34BB131C"/>
    <w:rsid w:val="34D36666"/>
    <w:rsid w:val="34D65F41"/>
    <w:rsid w:val="34E645EB"/>
    <w:rsid w:val="34FD7B87"/>
    <w:rsid w:val="34FF745B"/>
    <w:rsid w:val="352549E8"/>
    <w:rsid w:val="352944D8"/>
    <w:rsid w:val="353F1F4D"/>
    <w:rsid w:val="35441312"/>
    <w:rsid w:val="35487054"/>
    <w:rsid w:val="354B444E"/>
    <w:rsid w:val="354F46D2"/>
    <w:rsid w:val="35661288"/>
    <w:rsid w:val="35725E7F"/>
    <w:rsid w:val="3575596F"/>
    <w:rsid w:val="357A2F85"/>
    <w:rsid w:val="357C6CFE"/>
    <w:rsid w:val="35831E3A"/>
    <w:rsid w:val="35CB558F"/>
    <w:rsid w:val="35F745D6"/>
    <w:rsid w:val="361B6516"/>
    <w:rsid w:val="362178A5"/>
    <w:rsid w:val="362F1FC2"/>
    <w:rsid w:val="36356EAC"/>
    <w:rsid w:val="363E2205"/>
    <w:rsid w:val="36455341"/>
    <w:rsid w:val="36745C27"/>
    <w:rsid w:val="36B81FB7"/>
    <w:rsid w:val="36E763F9"/>
    <w:rsid w:val="36FC6348"/>
    <w:rsid w:val="36FD79CA"/>
    <w:rsid w:val="370E607B"/>
    <w:rsid w:val="373C4996"/>
    <w:rsid w:val="375810A4"/>
    <w:rsid w:val="377A5B12"/>
    <w:rsid w:val="378400EB"/>
    <w:rsid w:val="37A83DDA"/>
    <w:rsid w:val="37C14E9C"/>
    <w:rsid w:val="37CE75B8"/>
    <w:rsid w:val="37E33064"/>
    <w:rsid w:val="37E40B8A"/>
    <w:rsid w:val="37FA215C"/>
    <w:rsid w:val="385775AE"/>
    <w:rsid w:val="38763ED8"/>
    <w:rsid w:val="38887767"/>
    <w:rsid w:val="388D1222"/>
    <w:rsid w:val="38B72CB1"/>
    <w:rsid w:val="38C8225A"/>
    <w:rsid w:val="38D62BC9"/>
    <w:rsid w:val="38E70932"/>
    <w:rsid w:val="38F80D91"/>
    <w:rsid w:val="390239BE"/>
    <w:rsid w:val="39033292"/>
    <w:rsid w:val="392A6A70"/>
    <w:rsid w:val="395A1104"/>
    <w:rsid w:val="395B4E7C"/>
    <w:rsid w:val="39697599"/>
    <w:rsid w:val="39785A2E"/>
    <w:rsid w:val="399003FF"/>
    <w:rsid w:val="39D92970"/>
    <w:rsid w:val="39DF3CFF"/>
    <w:rsid w:val="39F96B6F"/>
    <w:rsid w:val="3A192D6D"/>
    <w:rsid w:val="3A72247D"/>
    <w:rsid w:val="3A7E52C6"/>
    <w:rsid w:val="3A8B1791"/>
    <w:rsid w:val="3AAC3BE1"/>
    <w:rsid w:val="3AB94550"/>
    <w:rsid w:val="3AC76C6D"/>
    <w:rsid w:val="3ACC6031"/>
    <w:rsid w:val="3B191B5E"/>
    <w:rsid w:val="3B2714BA"/>
    <w:rsid w:val="3B5722AF"/>
    <w:rsid w:val="3B590236"/>
    <w:rsid w:val="3B783AC3"/>
    <w:rsid w:val="3BBF7944"/>
    <w:rsid w:val="3BC136BC"/>
    <w:rsid w:val="3BFA097C"/>
    <w:rsid w:val="3C131A3E"/>
    <w:rsid w:val="3C137C90"/>
    <w:rsid w:val="3C477159"/>
    <w:rsid w:val="3C666012"/>
    <w:rsid w:val="3C676344"/>
    <w:rsid w:val="3C6B187A"/>
    <w:rsid w:val="3C6E4EC6"/>
    <w:rsid w:val="3C797AF3"/>
    <w:rsid w:val="3C850B8E"/>
    <w:rsid w:val="3C9E57AB"/>
    <w:rsid w:val="3CC84251"/>
    <w:rsid w:val="3CD967E3"/>
    <w:rsid w:val="3CE37662"/>
    <w:rsid w:val="3CE77152"/>
    <w:rsid w:val="3D1C4922"/>
    <w:rsid w:val="3D2008B6"/>
    <w:rsid w:val="3D257C7B"/>
    <w:rsid w:val="3D281519"/>
    <w:rsid w:val="3D4C16AB"/>
    <w:rsid w:val="3D4E0F7F"/>
    <w:rsid w:val="3D6C58AA"/>
    <w:rsid w:val="3D6F0EF6"/>
    <w:rsid w:val="3D712EC0"/>
    <w:rsid w:val="3D7529B0"/>
    <w:rsid w:val="3D7B3D3F"/>
    <w:rsid w:val="3D89020A"/>
    <w:rsid w:val="3D8F1598"/>
    <w:rsid w:val="3D9B1CEB"/>
    <w:rsid w:val="3DBA6615"/>
    <w:rsid w:val="3DDF607B"/>
    <w:rsid w:val="3DE74F30"/>
    <w:rsid w:val="3E1A5306"/>
    <w:rsid w:val="3E75253C"/>
    <w:rsid w:val="3EF26282"/>
    <w:rsid w:val="3F00274D"/>
    <w:rsid w:val="3F4A5777"/>
    <w:rsid w:val="3F5F5ABC"/>
    <w:rsid w:val="3F942E96"/>
    <w:rsid w:val="3F964E60"/>
    <w:rsid w:val="3F9B2476"/>
    <w:rsid w:val="3FA27627"/>
    <w:rsid w:val="3FA7706D"/>
    <w:rsid w:val="3FA806EF"/>
    <w:rsid w:val="3FB83028"/>
    <w:rsid w:val="3FF04570"/>
    <w:rsid w:val="3FF102E8"/>
    <w:rsid w:val="400022D9"/>
    <w:rsid w:val="4004626D"/>
    <w:rsid w:val="400E49F6"/>
    <w:rsid w:val="4037219F"/>
    <w:rsid w:val="4061721C"/>
    <w:rsid w:val="40736F4F"/>
    <w:rsid w:val="409749EB"/>
    <w:rsid w:val="409F1AF2"/>
    <w:rsid w:val="40BF2194"/>
    <w:rsid w:val="40C63523"/>
    <w:rsid w:val="40D21EC7"/>
    <w:rsid w:val="40DA6FCE"/>
    <w:rsid w:val="40E165AE"/>
    <w:rsid w:val="40FB7670"/>
    <w:rsid w:val="410B53D9"/>
    <w:rsid w:val="411918A4"/>
    <w:rsid w:val="412070D7"/>
    <w:rsid w:val="41233D36"/>
    <w:rsid w:val="412546ED"/>
    <w:rsid w:val="41281AE7"/>
    <w:rsid w:val="41306BEE"/>
    <w:rsid w:val="4142704D"/>
    <w:rsid w:val="415D5C35"/>
    <w:rsid w:val="41680394"/>
    <w:rsid w:val="417D62D7"/>
    <w:rsid w:val="417E204F"/>
    <w:rsid w:val="418C6A2A"/>
    <w:rsid w:val="419D4283"/>
    <w:rsid w:val="41A25D3E"/>
    <w:rsid w:val="41C2018E"/>
    <w:rsid w:val="41D35EF7"/>
    <w:rsid w:val="41FF6CEC"/>
    <w:rsid w:val="42024A2E"/>
    <w:rsid w:val="42162288"/>
    <w:rsid w:val="421B164C"/>
    <w:rsid w:val="422C5607"/>
    <w:rsid w:val="4262727B"/>
    <w:rsid w:val="426E79CE"/>
    <w:rsid w:val="428434D8"/>
    <w:rsid w:val="428B0580"/>
    <w:rsid w:val="428B67D2"/>
    <w:rsid w:val="42925DB2"/>
    <w:rsid w:val="429631A2"/>
    <w:rsid w:val="429A6A15"/>
    <w:rsid w:val="429F2D3C"/>
    <w:rsid w:val="42B850ED"/>
    <w:rsid w:val="42B9333F"/>
    <w:rsid w:val="42CB6BCE"/>
    <w:rsid w:val="42D02437"/>
    <w:rsid w:val="42E243E9"/>
    <w:rsid w:val="42E3660E"/>
    <w:rsid w:val="42F205FF"/>
    <w:rsid w:val="4303280C"/>
    <w:rsid w:val="432509D4"/>
    <w:rsid w:val="433A3D54"/>
    <w:rsid w:val="438A0837"/>
    <w:rsid w:val="43994F1E"/>
    <w:rsid w:val="43AD4526"/>
    <w:rsid w:val="43E02B4D"/>
    <w:rsid w:val="43EA7528"/>
    <w:rsid w:val="43F860E9"/>
    <w:rsid w:val="43FB34E3"/>
    <w:rsid w:val="43FB7987"/>
    <w:rsid w:val="440B5E1C"/>
    <w:rsid w:val="44136A7F"/>
    <w:rsid w:val="441A7E0D"/>
    <w:rsid w:val="443B5FD6"/>
    <w:rsid w:val="44421112"/>
    <w:rsid w:val="44654E01"/>
    <w:rsid w:val="44901E7E"/>
    <w:rsid w:val="44A75419"/>
    <w:rsid w:val="44B33DBE"/>
    <w:rsid w:val="44C47D79"/>
    <w:rsid w:val="44ED5522"/>
    <w:rsid w:val="451707F1"/>
    <w:rsid w:val="45232CF2"/>
    <w:rsid w:val="45246A6A"/>
    <w:rsid w:val="455C6204"/>
    <w:rsid w:val="45603F46"/>
    <w:rsid w:val="45717F01"/>
    <w:rsid w:val="4585575A"/>
    <w:rsid w:val="45997458"/>
    <w:rsid w:val="459B31D0"/>
    <w:rsid w:val="45A71B75"/>
    <w:rsid w:val="45C049E4"/>
    <w:rsid w:val="45C269AF"/>
    <w:rsid w:val="45C53DA9"/>
    <w:rsid w:val="45C64D7A"/>
    <w:rsid w:val="45CD7101"/>
    <w:rsid w:val="45E2495B"/>
    <w:rsid w:val="46130FB8"/>
    <w:rsid w:val="4631143E"/>
    <w:rsid w:val="4674757D"/>
    <w:rsid w:val="4678706D"/>
    <w:rsid w:val="468C48C7"/>
    <w:rsid w:val="468E6891"/>
    <w:rsid w:val="469B0FAE"/>
    <w:rsid w:val="46C95B1B"/>
    <w:rsid w:val="46D651B3"/>
    <w:rsid w:val="46EB3CE3"/>
    <w:rsid w:val="46F10BCE"/>
    <w:rsid w:val="46F54B62"/>
    <w:rsid w:val="47046B53"/>
    <w:rsid w:val="471A6376"/>
    <w:rsid w:val="475F1FDB"/>
    <w:rsid w:val="479C6D8B"/>
    <w:rsid w:val="47A45C40"/>
    <w:rsid w:val="47C85DD2"/>
    <w:rsid w:val="47D12ED9"/>
    <w:rsid w:val="47D66741"/>
    <w:rsid w:val="47DC523D"/>
    <w:rsid w:val="47F20DC3"/>
    <w:rsid w:val="480768FB"/>
    <w:rsid w:val="481C1C7A"/>
    <w:rsid w:val="483E7E42"/>
    <w:rsid w:val="484254F2"/>
    <w:rsid w:val="484D62D8"/>
    <w:rsid w:val="485338EE"/>
    <w:rsid w:val="48A405ED"/>
    <w:rsid w:val="48DD3AFF"/>
    <w:rsid w:val="48E96000"/>
    <w:rsid w:val="48EB621C"/>
    <w:rsid w:val="493A2D00"/>
    <w:rsid w:val="493A4AAE"/>
    <w:rsid w:val="494476DB"/>
    <w:rsid w:val="49634005"/>
    <w:rsid w:val="49B83B96"/>
    <w:rsid w:val="4A17094B"/>
    <w:rsid w:val="4A176B9D"/>
    <w:rsid w:val="4A273284"/>
    <w:rsid w:val="4A4200BE"/>
    <w:rsid w:val="4A4F6337"/>
    <w:rsid w:val="4A58343D"/>
    <w:rsid w:val="4A677B24"/>
    <w:rsid w:val="4A7B712C"/>
    <w:rsid w:val="4A895CED"/>
    <w:rsid w:val="4A9106FD"/>
    <w:rsid w:val="4A9A1CA8"/>
    <w:rsid w:val="4AB50890"/>
    <w:rsid w:val="4ABD5996"/>
    <w:rsid w:val="4AD93E52"/>
    <w:rsid w:val="4AF15640"/>
    <w:rsid w:val="4B047121"/>
    <w:rsid w:val="4B074E64"/>
    <w:rsid w:val="4B15132F"/>
    <w:rsid w:val="4B1A6945"/>
    <w:rsid w:val="4B4B4D50"/>
    <w:rsid w:val="4B4E65EF"/>
    <w:rsid w:val="4B773D97"/>
    <w:rsid w:val="4B810772"/>
    <w:rsid w:val="4BA83B4B"/>
    <w:rsid w:val="4BAD5A0B"/>
    <w:rsid w:val="4BC468B1"/>
    <w:rsid w:val="4BCB40E3"/>
    <w:rsid w:val="4BCE772F"/>
    <w:rsid w:val="4BED4059"/>
    <w:rsid w:val="4BF076A6"/>
    <w:rsid w:val="4BF929FE"/>
    <w:rsid w:val="4BFC604B"/>
    <w:rsid w:val="4C080E93"/>
    <w:rsid w:val="4C0C0983"/>
    <w:rsid w:val="4C26756B"/>
    <w:rsid w:val="4C3752D5"/>
    <w:rsid w:val="4C39104D"/>
    <w:rsid w:val="4C46376A"/>
    <w:rsid w:val="4C4874E2"/>
    <w:rsid w:val="4C5E4F57"/>
    <w:rsid w:val="4C8524E4"/>
    <w:rsid w:val="4C8D3147"/>
    <w:rsid w:val="4CAC5CC3"/>
    <w:rsid w:val="4CB132D9"/>
    <w:rsid w:val="4CB64A77"/>
    <w:rsid w:val="4CB86415"/>
    <w:rsid w:val="4CCC1EC1"/>
    <w:rsid w:val="4CDF7E46"/>
    <w:rsid w:val="4CF3569F"/>
    <w:rsid w:val="4CFA6A2E"/>
    <w:rsid w:val="4D1F0243"/>
    <w:rsid w:val="4D40640B"/>
    <w:rsid w:val="4D4C15C3"/>
    <w:rsid w:val="4D5C1497"/>
    <w:rsid w:val="4D700A9E"/>
    <w:rsid w:val="4DAE06B8"/>
    <w:rsid w:val="4DB50BA7"/>
    <w:rsid w:val="4DCE3A17"/>
    <w:rsid w:val="4DFC67D6"/>
    <w:rsid w:val="4DFE254E"/>
    <w:rsid w:val="4E035DB6"/>
    <w:rsid w:val="4E094A4F"/>
    <w:rsid w:val="4E235B10"/>
    <w:rsid w:val="4E597784"/>
    <w:rsid w:val="4E685C19"/>
    <w:rsid w:val="4EA12ED9"/>
    <w:rsid w:val="4EBB21ED"/>
    <w:rsid w:val="4ECE0172"/>
    <w:rsid w:val="4EDD2163"/>
    <w:rsid w:val="4EE03A01"/>
    <w:rsid w:val="4F165675"/>
    <w:rsid w:val="4F4E3061"/>
    <w:rsid w:val="4F5F0DCA"/>
    <w:rsid w:val="4F716D4F"/>
    <w:rsid w:val="4F9C3DCC"/>
    <w:rsid w:val="4FB01626"/>
    <w:rsid w:val="4FB54E8E"/>
    <w:rsid w:val="4FBB7FCB"/>
    <w:rsid w:val="4FC155E1"/>
    <w:rsid w:val="4FDA48F5"/>
    <w:rsid w:val="50067498"/>
    <w:rsid w:val="500876B4"/>
    <w:rsid w:val="500D0826"/>
    <w:rsid w:val="50146059"/>
    <w:rsid w:val="503A35E5"/>
    <w:rsid w:val="50446212"/>
    <w:rsid w:val="50504BB7"/>
    <w:rsid w:val="506A211C"/>
    <w:rsid w:val="507813C6"/>
    <w:rsid w:val="507C775A"/>
    <w:rsid w:val="508036EE"/>
    <w:rsid w:val="509E3B74"/>
    <w:rsid w:val="50BB0282"/>
    <w:rsid w:val="50BB2978"/>
    <w:rsid w:val="50D41344"/>
    <w:rsid w:val="50DD469C"/>
    <w:rsid w:val="50E13A61"/>
    <w:rsid w:val="50F33EC0"/>
    <w:rsid w:val="512332D2"/>
    <w:rsid w:val="51234079"/>
    <w:rsid w:val="517F7502"/>
    <w:rsid w:val="5184720E"/>
    <w:rsid w:val="51C770FB"/>
    <w:rsid w:val="51E952C3"/>
    <w:rsid w:val="51F872B4"/>
    <w:rsid w:val="52036385"/>
    <w:rsid w:val="523F4EE3"/>
    <w:rsid w:val="524D13AE"/>
    <w:rsid w:val="527A5F1B"/>
    <w:rsid w:val="52833022"/>
    <w:rsid w:val="52AA2CA4"/>
    <w:rsid w:val="52AF02BB"/>
    <w:rsid w:val="52B70F1D"/>
    <w:rsid w:val="52C06024"/>
    <w:rsid w:val="52D7336D"/>
    <w:rsid w:val="52E87329"/>
    <w:rsid w:val="53177C0E"/>
    <w:rsid w:val="533F163E"/>
    <w:rsid w:val="535350EA"/>
    <w:rsid w:val="53784B50"/>
    <w:rsid w:val="538F3C48"/>
    <w:rsid w:val="539A4AC7"/>
    <w:rsid w:val="53A414A2"/>
    <w:rsid w:val="53A45945"/>
    <w:rsid w:val="53AF7E46"/>
    <w:rsid w:val="53C51418"/>
    <w:rsid w:val="53DA3115"/>
    <w:rsid w:val="53E421E6"/>
    <w:rsid w:val="54102FDB"/>
    <w:rsid w:val="54161C73"/>
    <w:rsid w:val="541C54DC"/>
    <w:rsid w:val="54436F0C"/>
    <w:rsid w:val="54493DF7"/>
    <w:rsid w:val="546E7D01"/>
    <w:rsid w:val="547E6196"/>
    <w:rsid w:val="548B440F"/>
    <w:rsid w:val="54A13C33"/>
    <w:rsid w:val="54B06DFE"/>
    <w:rsid w:val="54B418FE"/>
    <w:rsid w:val="54C3004D"/>
    <w:rsid w:val="54C47921"/>
    <w:rsid w:val="54E0475B"/>
    <w:rsid w:val="54E56216"/>
    <w:rsid w:val="54EB4EAE"/>
    <w:rsid w:val="54F55D2D"/>
    <w:rsid w:val="54F77CF7"/>
    <w:rsid w:val="55050666"/>
    <w:rsid w:val="550541C2"/>
    <w:rsid w:val="55055F70"/>
    <w:rsid w:val="550A17D8"/>
    <w:rsid w:val="55124B31"/>
    <w:rsid w:val="55173EF5"/>
    <w:rsid w:val="55326F81"/>
    <w:rsid w:val="55452810"/>
    <w:rsid w:val="55676C2B"/>
    <w:rsid w:val="55821CB6"/>
    <w:rsid w:val="5583158B"/>
    <w:rsid w:val="558C4873"/>
    <w:rsid w:val="558C6691"/>
    <w:rsid w:val="558E2409"/>
    <w:rsid w:val="55913CA7"/>
    <w:rsid w:val="55AF2380"/>
    <w:rsid w:val="55BB2AD2"/>
    <w:rsid w:val="55FD133D"/>
    <w:rsid w:val="560E52F8"/>
    <w:rsid w:val="5613290E"/>
    <w:rsid w:val="564451BE"/>
    <w:rsid w:val="565C6063"/>
    <w:rsid w:val="566B44F9"/>
    <w:rsid w:val="567C4958"/>
    <w:rsid w:val="56813D1C"/>
    <w:rsid w:val="56927CD7"/>
    <w:rsid w:val="5697353F"/>
    <w:rsid w:val="56C67981"/>
    <w:rsid w:val="56D57BC4"/>
    <w:rsid w:val="56EE0C86"/>
    <w:rsid w:val="571B5F1F"/>
    <w:rsid w:val="572528F9"/>
    <w:rsid w:val="572F19CA"/>
    <w:rsid w:val="576A0FE7"/>
    <w:rsid w:val="57A203EE"/>
    <w:rsid w:val="57D305A7"/>
    <w:rsid w:val="57D460CD"/>
    <w:rsid w:val="57DF519E"/>
    <w:rsid w:val="5805272B"/>
    <w:rsid w:val="58164938"/>
    <w:rsid w:val="582157B7"/>
    <w:rsid w:val="582726A1"/>
    <w:rsid w:val="58276B45"/>
    <w:rsid w:val="58403763"/>
    <w:rsid w:val="585A4825"/>
    <w:rsid w:val="587D6765"/>
    <w:rsid w:val="58AB32D2"/>
    <w:rsid w:val="58B008E9"/>
    <w:rsid w:val="58C3061C"/>
    <w:rsid w:val="58C757BE"/>
    <w:rsid w:val="58D75E75"/>
    <w:rsid w:val="58D97E3F"/>
    <w:rsid w:val="58DA7713"/>
    <w:rsid w:val="58DF2F7C"/>
    <w:rsid w:val="58F06F37"/>
    <w:rsid w:val="58FA7DB6"/>
    <w:rsid w:val="590B3D71"/>
    <w:rsid w:val="590E560F"/>
    <w:rsid w:val="590F1AB3"/>
    <w:rsid w:val="59202368"/>
    <w:rsid w:val="59246BE1"/>
    <w:rsid w:val="5963595B"/>
    <w:rsid w:val="59710078"/>
    <w:rsid w:val="59745DBA"/>
    <w:rsid w:val="59747B68"/>
    <w:rsid w:val="597A1831"/>
    <w:rsid w:val="597A4A53"/>
    <w:rsid w:val="598F04FE"/>
    <w:rsid w:val="59973856"/>
    <w:rsid w:val="59A0270B"/>
    <w:rsid w:val="59A246D5"/>
    <w:rsid w:val="59A33FA9"/>
    <w:rsid w:val="59BD32BD"/>
    <w:rsid w:val="59D625D1"/>
    <w:rsid w:val="59F667CF"/>
    <w:rsid w:val="5A160C1F"/>
    <w:rsid w:val="5A1D1FAE"/>
    <w:rsid w:val="5A250E62"/>
    <w:rsid w:val="5A315A59"/>
    <w:rsid w:val="5A317807"/>
    <w:rsid w:val="5A355549"/>
    <w:rsid w:val="5A6220B6"/>
    <w:rsid w:val="5A6545DD"/>
    <w:rsid w:val="5A6C4CE3"/>
    <w:rsid w:val="5A785436"/>
    <w:rsid w:val="5A7F67C4"/>
    <w:rsid w:val="5A845B89"/>
    <w:rsid w:val="5A8E6A07"/>
    <w:rsid w:val="5A902780"/>
    <w:rsid w:val="5AAB75B9"/>
    <w:rsid w:val="5ABD72ED"/>
    <w:rsid w:val="5AC266B1"/>
    <w:rsid w:val="5AF947C9"/>
    <w:rsid w:val="5B0942E0"/>
    <w:rsid w:val="5B0B1E06"/>
    <w:rsid w:val="5B1213E7"/>
    <w:rsid w:val="5B1C04B7"/>
    <w:rsid w:val="5B242EC8"/>
    <w:rsid w:val="5B3550D5"/>
    <w:rsid w:val="5B4E7D29"/>
    <w:rsid w:val="5B647768"/>
    <w:rsid w:val="5B6F6839"/>
    <w:rsid w:val="5B70610D"/>
    <w:rsid w:val="5B726329"/>
    <w:rsid w:val="5B7A6F8C"/>
    <w:rsid w:val="5B81031A"/>
    <w:rsid w:val="5B9444F1"/>
    <w:rsid w:val="5BA02E96"/>
    <w:rsid w:val="5BB57FC4"/>
    <w:rsid w:val="5BE32D83"/>
    <w:rsid w:val="5BF705DC"/>
    <w:rsid w:val="5BFE196B"/>
    <w:rsid w:val="5C384E7D"/>
    <w:rsid w:val="5C563555"/>
    <w:rsid w:val="5C58551F"/>
    <w:rsid w:val="5C741C2D"/>
    <w:rsid w:val="5C7834CB"/>
    <w:rsid w:val="5C7A36E7"/>
    <w:rsid w:val="5C910A31"/>
    <w:rsid w:val="5C9C18B0"/>
    <w:rsid w:val="5CF3349A"/>
    <w:rsid w:val="5CF36FF6"/>
    <w:rsid w:val="5D101956"/>
    <w:rsid w:val="5D26561D"/>
    <w:rsid w:val="5D3E2967"/>
    <w:rsid w:val="5D731EE5"/>
    <w:rsid w:val="5D8440F2"/>
    <w:rsid w:val="5D8D11F8"/>
    <w:rsid w:val="5D972077"/>
    <w:rsid w:val="5D9F2CDA"/>
    <w:rsid w:val="5DA54794"/>
    <w:rsid w:val="5DC15346"/>
    <w:rsid w:val="5DCA5FA9"/>
    <w:rsid w:val="5DCD7847"/>
    <w:rsid w:val="5E0019CA"/>
    <w:rsid w:val="5E024645"/>
    <w:rsid w:val="5E453881"/>
    <w:rsid w:val="5E654E72"/>
    <w:rsid w:val="5E6C7060"/>
    <w:rsid w:val="5E761C8C"/>
    <w:rsid w:val="5E8B1BDC"/>
    <w:rsid w:val="5EB9022B"/>
    <w:rsid w:val="5F025C16"/>
    <w:rsid w:val="5F053010"/>
    <w:rsid w:val="5F530220"/>
    <w:rsid w:val="5F5C70D4"/>
    <w:rsid w:val="5F920D48"/>
    <w:rsid w:val="5FE1582B"/>
    <w:rsid w:val="5FEC48FC"/>
    <w:rsid w:val="5FF13CC0"/>
    <w:rsid w:val="601B2AEB"/>
    <w:rsid w:val="60237BF2"/>
    <w:rsid w:val="60433DF0"/>
    <w:rsid w:val="604F09E7"/>
    <w:rsid w:val="6051475F"/>
    <w:rsid w:val="6051650D"/>
    <w:rsid w:val="605424A1"/>
    <w:rsid w:val="60BD0047"/>
    <w:rsid w:val="60F63558"/>
    <w:rsid w:val="61023CAB"/>
    <w:rsid w:val="610E43FE"/>
    <w:rsid w:val="611B4D6D"/>
    <w:rsid w:val="612260FC"/>
    <w:rsid w:val="612956DC"/>
    <w:rsid w:val="61306A6A"/>
    <w:rsid w:val="61355E2F"/>
    <w:rsid w:val="614E6558"/>
    <w:rsid w:val="61750921"/>
    <w:rsid w:val="617A1A94"/>
    <w:rsid w:val="617C1CB0"/>
    <w:rsid w:val="61840B64"/>
    <w:rsid w:val="61B56F70"/>
    <w:rsid w:val="61D76EE6"/>
    <w:rsid w:val="61F5736C"/>
    <w:rsid w:val="61F93300"/>
    <w:rsid w:val="622163B3"/>
    <w:rsid w:val="623205C0"/>
    <w:rsid w:val="623E0D13"/>
    <w:rsid w:val="62540537"/>
    <w:rsid w:val="626A1B08"/>
    <w:rsid w:val="62922E0D"/>
    <w:rsid w:val="629D3C8C"/>
    <w:rsid w:val="62C21944"/>
    <w:rsid w:val="62D6719E"/>
    <w:rsid w:val="630C2BBF"/>
    <w:rsid w:val="630E06E5"/>
    <w:rsid w:val="630F445E"/>
    <w:rsid w:val="633F2F95"/>
    <w:rsid w:val="635067E6"/>
    <w:rsid w:val="63715118"/>
    <w:rsid w:val="638C3D00"/>
    <w:rsid w:val="63A31776"/>
    <w:rsid w:val="63AB4186"/>
    <w:rsid w:val="63C416EC"/>
    <w:rsid w:val="63CB4828"/>
    <w:rsid w:val="641C5084"/>
    <w:rsid w:val="64371EBE"/>
    <w:rsid w:val="64526CF8"/>
    <w:rsid w:val="646D58E0"/>
    <w:rsid w:val="6472739A"/>
    <w:rsid w:val="64990483"/>
    <w:rsid w:val="64E8140A"/>
    <w:rsid w:val="64FD4EB5"/>
    <w:rsid w:val="65006754"/>
    <w:rsid w:val="6509385A"/>
    <w:rsid w:val="656C2F8E"/>
    <w:rsid w:val="65803DCC"/>
    <w:rsid w:val="65817895"/>
    <w:rsid w:val="658904F7"/>
    <w:rsid w:val="6598698C"/>
    <w:rsid w:val="65B512EC"/>
    <w:rsid w:val="65EB7404"/>
    <w:rsid w:val="660E4EA0"/>
    <w:rsid w:val="661A55F3"/>
    <w:rsid w:val="66236B9E"/>
    <w:rsid w:val="664803B2"/>
    <w:rsid w:val="664B7EA3"/>
    <w:rsid w:val="66552ACF"/>
    <w:rsid w:val="669058B5"/>
    <w:rsid w:val="66A23F66"/>
    <w:rsid w:val="66B27F22"/>
    <w:rsid w:val="66CB4B3F"/>
    <w:rsid w:val="66DC6D4D"/>
    <w:rsid w:val="670267B3"/>
    <w:rsid w:val="671D539B"/>
    <w:rsid w:val="6736645D"/>
    <w:rsid w:val="674F751F"/>
    <w:rsid w:val="675B5EC3"/>
    <w:rsid w:val="675D7E8D"/>
    <w:rsid w:val="675E59B4"/>
    <w:rsid w:val="676B07FC"/>
    <w:rsid w:val="676C6322"/>
    <w:rsid w:val="678418BE"/>
    <w:rsid w:val="678E0047"/>
    <w:rsid w:val="67A71109"/>
    <w:rsid w:val="67B951BB"/>
    <w:rsid w:val="683055A2"/>
    <w:rsid w:val="68442DFB"/>
    <w:rsid w:val="684626D0"/>
    <w:rsid w:val="684A6664"/>
    <w:rsid w:val="684D3A5E"/>
    <w:rsid w:val="68792AA5"/>
    <w:rsid w:val="68880F3A"/>
    <w:rsid w:val="68C161FA"/>
    <w:rsid w:val="68C55CEA"/>
    <w:rsid w:val="68D75A1D"/>
    <w:rsid w:val="68DE4FFE"/>
    <w:rsid w:val="68E343C2"/>
    <w:rsid w:val="68EA5751"/>
    <w:rsid w:val="691E189E"/>
    <w:rsid w:val="692769A5"/>
    <w:rsid w:val="69362744"/>
    <w:rsid w:val="69872FA0"/>
    <w:rsid w:val="698F62F8"/>
    <w:rsid w:val="69A43B52"/>
    <w:rsid w:val="69A55B1C"/>
    <w:rsid w:val="69AC0C58"/>
    <w:rsid w:val="69C77840"/>
    <w:rsid w:val="69DD3507"/>
    <w:rsid w:val="69F543AD"/>
    <w:rsid w:val="6A0C7949"/>
    <w:rsid w:val="6A5F5CCB"/>
    <w:rsid w:val="6A771266"/>
    <w:rsid w:val="6A7A6FA8"/>
    <w:rsid w:val="6A9C2A7B"/>
    <w:rsid w:val="6AA638F9"/>
    <w:rsid w:val="6AA81420"/>
    <w:rsid w:val="6AC65D4A"/>
    <w:rsid w:val="6ACB3360"/>
    <w:rsid w:val="6AED777A"/>
    <w:rsid w:val="6AFE1987"/>
    <w:rsid w:val="6B4849B1"/>
    <w:rsid w:val="6B5C045C"/>
    <w:rsid w:val="6B6932A5"/>
    <w:rsid w:val="6B7176EF"/>
    <w:rsid w:val="6B827EC3"/>
    <w:rsid w:val="6B851761"/>
    <w:rsid w:val="6B8F0831"/>
    <w:rsid w:val="6BAD2A66"/>
    <w:rsid w:val="6BEC7A32"/>
    <w:rsid w:val="6C046B2A"/>
    <w:rsid w:val="6C0E79A8"/>
    <w:rsid w:val="6C2B055A"/>
    <w:rsid w:val="6C4038DA"/>
    <w:rsid w:val="6C411B2C"/>
    <w:rsid w:val="6C496C32"/>
    <w:rsid w:val="6C507FC1"/>
    <w:rsid w:val="6C537AB1"/>
    <w:rsid w:val="6C5C4BB7"/>
    <w:rsid w:val="6C5E0930"/>
    <w:rsid w:val="6C755C79"/>
    <w:rsid w:val="6C77554D"/>
    <w:rsid w:val="6C90660F"/>
    <w:rsid w:val="6C951E77"/>
    <w:rsid w:val="6C9F6852"/>
    <w:rsid w:val="6CC664D5"/>
    <w:rsid w:val="6CE626D3"/>
    <w:rsid w:val="6CF05300"/>
    <w:rsid w:val="6D301BA0"/>
    <w:rsid w:val="6D594C53"/>
    <w:rsid w:val="6D747CDF"/>
    <w:rsid w:val="6D82064E"/>
    <w:rsid w:val="6D851EEC"/>
    <w:rsid w:val="6D8A305E"/>
    <w:rsid w:val="6D8A5754"/>
    <w:rsid w:val="6D943EDD"/>
    <w:rsid w:val="6D9B34BE"/>
    <w:rsid w:val="6DA560EA"/>
    <w:rsid w:val="6DBB590E"/>
    <w:rsid w:val="6DC42A14"/>
    <w:rsid w:val="6DC5053A"/>
    <w:rsid w:val="6DE2733E"/>
    <w:rsid w:val="6DEA61F3"/>
    <w:rsid w:val="6DFE57FA"/>
    <w:rsid w:val="6E1D2124"/>
    <w:rsid w:val="6E1F40EF"/>
    <w:rsid w:val="6E5024FA"/>
    <w:rsid w:val="6E5518BE"/>
    <w:rsid w:val="6E623FDB"/>
    <w:rsid w:val="6E6C09B6"/>
    <w:rsid w:val="6E7A7577"/>
    <w:rsid w:val="6E957F0D"/>
    <w:rsid w:val="6EA939B8"/>
    <w:rsid w:val="6EB34837"/>
    <w:rsid w:val="6EBD1212"/>
    <w:rsid w:val="6EC66318"/>
    <w:rsid w:val="6F0137F4"/>
    <w:rsid w:val="6F1E43A6"/>
    <w:rsid w:val="6F280D81"/>
    <w:rsid w:val="6F307C36"/>
    <w:rsid w:val="6F343BCA"/>
    <w:rsid w:val="6F377216"/>
    <w:rsid w:val="6F413BF1"/>
    <w:rsid w:val="6F5E29F5"/>
    <w:rsid w:val="6F616041"/>
    <w:rsid w:val="6F7264A0"/>
    <w:rsid w:val="6F887A72"/>
    <w:rsid w:val="6F8F0E00"/>
    <w:rsid w:val="6FB72105"/>
    <w:rsid w:val="6FC50CC6"/>
    <w:rsid w:val="6FE4739E"/>
    <w:rsid w:val="7004359C"/>
    <w:rsid w:val="70076BE8"/>
    <w:rsid w:val="705B0CE2"/>
    <w:rsid w:val="706E4EB9"/>
    <w:rsid w:val="70837CBA"/>
    <w:rsid w:val="708C533F"/>
    <w:rsid w:val="709F32C5"/>
    <w:rsid w:val="70B825D8"/>
    <w:rsid w:val="70BD7BEF"/>
    <w:rsid w:val="70C25205"/>
    <w:rsid w:val="70D171F6"/>
    <w:rsid w:val="70E46F2A"/>
    <w:rsid w:val="70ED2282"/>
    <w:rsid w:val="70FE448F"/>
    <w:rsid w:val="71107D1F"/>
    <w:rsid w:val="71325EE7"/>
    <w:rsid w:val="713A123F"/>
    <w:rsid w:val="714125CE"/>
    <w:rsid w:val="71542301"/>
    <w:rsid w:val="71922E29"/>
    <w:rsid w:val="71D76A8E"/>
    <w:rsid w:val="721455EC"/>
    <w:rsid w:val="726447C6"/>
    <w:rsid w:val="72785B7B"/>
    <w:rsid w:val="72930C07"/>
    <w:rsid w:val="72BB3CBA"/>
    <w:rsid w:val="72C15774"/>
    <w:rsid w:val="72C94629"/>
    <w:rsid w:val="72DF209E"/>
    <w:rsid w:val="72FF629D"/>
    <w:rsid w:val="73041B05"/>
    <w:rsid w:val="730438B3"/>
    <w:rsid w:val="73045661"/>
    <w:rsid w:val="73076EFF"/>
    <w:rsid w:val="731E2BC7"/>
    <w:rsid w:val="73216213"/>
    <w:rsid w:val="734E2D80"/>
    <w:rsid w:val="736507F6"/>
    <w:rsid w:val="73691968"/>
    <w:rsid w:val="738F5872"/>
    <w:rsid w:val="73970283"/>
    <w:rsid w:val="73AC26D2"/>
    <w:rsid w:val="73AD5CF9"/>
    <w:rsid w:val="73CD0149"/>
    <w:rsid w:val="740D2C3B"/>
    <w:rsid w:val="742D0BE7"/>
    <w:rsid w:val="74343D24"/>
    <w:rsid w:val="74365CEE"/>
    <w:rsid w:val="743E1047"/>
    <w:rsid w:val="74455F31"/>
    <w:rsid w:val="745148D6"/>
    <w:rsid w:val="7463285B"/>
    <w:rsid w:val="747D391D"/>
    <w:rsid w:val="747D56CB"/>
    <w:rsid w:val="74842EFD"/>
    <w:rsid w:val="74844CAB"/>
    <w:rsid w:val="74B54916"/>
    <w:rsid w:val="74C72DEA"/>
    <w:rsid w:val="7507768A"/>
    <w:rsid w:val="75175B20"/>
    <w:rsid w:val="751A116C"/>
    <w:rsid w:val="75267B11"/>
    <w:rsid w:val="75295853"/>
    <w:rsid w:val="752D5343"/>
    <w:rsid w:val="75387844"/>
    <w:rsid w:val="75610B49"/>
    <w:rsid w:val="757D16FB"/>
    <w:rsid w:val="758331B5"/>
    <w:rsid w:val="75AE7B06"/>
    <w:rsid w:val="75B07D22"/>
    <w:rsid w:val="75F0011F"/>
    <w:rsid w:val="7610431D"/>
    <w:rsid w:val="76143E0D"/>
    <w:rsid w:val="7625426C"/>
    <w:rsid w:val="76470B6D"/>
    <w:rsid w:val="766A7ED1"/>
    <w:rsid w:val="76726D86"/>
    <w:rsid w:val="76790114"/>
    <w:rsid w:val="7682521B"/>
    <w:rsid w:val="76852F5D"/>
    <w:rsid w:val="76A21419"/>
    <w:rsid w:val="76B61368"/>
    <w:rsid w:val="76D96E05"/>
    <w:rsid w:val="773724A9"/>
    <w:rsid w:val="773B361B"/>
    <w:rsid w:val="773C7ABF"/>
    <w:rsid w:val="77456248"/>
    <w:rsid w:val="774E77F3"/>
    <w:rsid w:val="77613082"/>
    <w:rsid w:val="77642B72"/>
    <w:rsid w:val="7769462C"/>
    <w:rsid w:val="777059BB"/>
    <w:rsid w:val="778356EE"/>
    <w:rsid w:val="77955421"/>
    <w:rsid w:val="77BD2282"/>
    <w:rsid w:val="77D93560"/>
    <w:rsid w:val="77EE068E"/>
    <w:rsid w:val="78144598"/>
    <w:rsid w:val="78482494"/>
    <w:rsid w:val="784F737E"/>
    <w:rsid w:val="7866291A"/>
    <w:rsid w:val="786D5A56"/>
    <w:rsid w:val="78782D79"/>
    <w:rsid w:val="78915BE9"/>
    <w:rsid w:val="789C633C"/>
    <w:rsid w:val="78AA0A59"/>
    <w:rsid w:val="78E0447A"/>
    <w:rsid w:val="78F47F26"/>
    <w:rsid w:val="79167E9C"/>
    <w:rsid w:val="79386064"/>
    <w:rsid w:val="7940316B"/>
    <w:rsid w:val="79404F19"/>
    <w:rsid w:val="794C38BE"/>
    <w:rsid w:val="796B468C"/>
    <w:rsid w:val="797D43BF"/>
    <w:rsid w:val="799A0ACD"/>
    <w:rsid w:val="79B778D1"/>
    <w:rsid w:val="79BD47BC"/>
    <w:rsid w:val="79C21DD2"/>
    <w:rsid w:val="79DF4732"/>
    <w:rsid w:val="79EB757B"/>
    <w:rsid w:val="79ED6E4F"/>
    <w:rsid w:val="79F04B91"/>
    <w:rsid w:val="7A0348C4"/>
    <w:rsid w:val="7A2860D9"/>
    <w:rsid w:val="7A2B7977"/>
    <w:rsid w:val="7A4D3D91"/>
    <w:rsid w:val="7A4D5B40"/>
    <w:rsid w:val="7A5E1AFB"/>
    <w:rsid w:val="7A6D4434"/>
    <w:rsid w:val="7A7E3F4B"/>
    <w:rsid w:val="7A884DCA"/>
    <w:rsid w:val="7A94551C"/>
    <w:rsid w:val="7A97500D"/>
    <w:rsid w:val="7AB94F83"/>
    <w:rsid w:val="7ABD2CC5"/>
    <w:rsid w:val="7AC027B5"/>
    <w:rsid w:val="7AD85D51"/>
    <w:rsid w:val="7AE2272C"/>
    <w:rsid w:val="7AF4420D"/>
    <w:rsid w:val="7B02692A"/>
    <w:rsid w:val="7B0F54EB"/>
    <w:rsid w:val="7B152B01"/>
    <w:rsid w:val="7B2965AD"/>
    <w:rsid w:val="7B2E771F"/>
    <w:rsid w:val="7B3867F0"/>
    <w:rsid w:val="7B51165F"/>
    <w:rsid w:val="7B641393"/>
    <w:rsid w:val="7B65510B"/>
    <w:rsid w:val="7B6A2721"/>
    <w:rsid w:val="7B705F89"/>
    <w:rsid w:val="7BA07EF1"/>
    <w:rsid w:val="7BA16619"/>
    <w:rsid w:val="7BC40083"/>
    <w:rsid w:val="7BCC0CE6"/>
    <w:rsid w:val="7BD04C7A"/>
    <w:rsid w:val="7BD61B65"/>
    <w:rsid w:val="7BE73D72"/>
    <w:rsid w:val="7BF30969"/>
    <w:rsid w:val="7C0B3F04"/>
    <w:rsid w:val="7C176405"/>
    <w:rsid w:val="7C683105"/>
    <w:rsid w:val="7C705B15"/>
    <w:rsid w:val="7C8617DD"/>
    <w:rsid w:val="7C9E08D4"/>
    <w:rsid w:val="7C9F63FA"/>
    <w:rsid w:val="7CA0464C"/>
    <w:rsid w:val="7CA83501"/>
    <w:rsid w:val="7CDE33C7"/>
    <w:rsid w:val="7CF93D5D"/>
    <w:rsid w:val="7CFB5D27"/>
    <w:rsid w:val="7D1D3EEF"/>
    <w:rsid w:val="7D252DA4"/>
    <w:rsid w:val="7D33726F"/>
    <w:rsid w:val="7DDA593C"/>
    <w:rsid w:val="7DE642E1"/>
    <w:rsid w:val="7DFC3B04"/>
    <w:rsid w:val="7E063AD0"/>
    <w:rsid w:val="7E096221"/>
    <w:rsid w:val="7E135A11"/>
    <w:rsid w:val="7E3314F0"/>
    <w:rsid w:val="7E372D8F"/>
    <w:rsid w:val="7E4454AB"/>
    <w:rsid w:val="7E573431"/>
    <w:rsid w:val="7E5F4093"/>
    <w:rsid w:val="7E74391E"/>
    <w:rsid w:val="7EC9775F"/>
    <w:rsid w:val="7F054C3B"/>
    <w:rsid w:val="7F2F7F0A"/>
    <w:rsid w:val="7F460DAF"/>
    <w:rsid w:val="7F565496"/>
    <w:rsid w:val="7F671451"/>
    <w:rsid w:val="7F792F33"/>
    <w:rsid w:val="7FD840FD"/>
    <w:rsid w:val="7FDD1714"/>
    <w:rsid w:val="7FFD1DB6"/>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autoRedefine/>
    <w:qFormat/>
    <w:uiPriority w:val="99"/>
    <w:pPr>
      <w:keepNext/>
      <w:keepLines/>
      <w:spacing w:before="340" w:after="330" w:line="578" w:lineRule="auto"/>
      <w:outlineLvl w:val="0"/>
    </w:pPr>
    <w:rPr>
      <w:b/>
      <w:bCs/>
      <w:kern w:val="44"/>
      <w:sz w:val="44"/>
      <w:szCs w:val="44"/>
    </w:rPr>
  </w:style>
  <w:style w:type="paragraph" w:styleId="3">
    <w:name w:val="heading 3"/>
    <w:basedOn w:val="1"/>
    <w:next w:val="1"/>
    <w:link w:val="21"/>
    <w:autoRedefine/>
    <w:qFormat/>
    <w:uiPriority w:val="9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5"/>
    <w:autoRedefine/>
    <w:semiHidden/>
    <w:qFormat/>
    <w:uiPriority w:val="99"/>
    <w:pPr>
      <w:shd w:val="clear" w:color="auto" w:fill="000080"/>
    </w:pPr>
  </w:style>
  <w:style w:type="paragraph" w:styleId="5">
    <w:name w:val="annotation text"/>
    <w:basedOn w:val="1"/>
    <w:link w:val="36"/>
    <w:autoRedefine/>
    <w:unhideWhenUsed/>
    <w:qFormat/>
    <w:uiPriority w:val="0"/>
    <w:pPr>
      <w:jc w:val="left"/>
    </w:pPr>
  </w:style>
  <w:style w:type="paragraph" w:styleId="6">
    <w:name w:val="Body Text Indent"/>
    <w:basedOn w:val="1"/>
    <w:link w:val="27"/>
    <w:autoRedefine/>
    <w:qFormat/>
    <w:uiPriority w:val="99"/>
    <w:pPr>
      <w:spacing w:after="120"/>
      <w:ind w:left="420" w:leftChars="200"/>
    </w:pPr>
  </w:style>
  <w:style w:type="paragraph" w:styleId="7">
    <w:name w:val="Date"/>
    <w:basedOn w:val="1"/>
    <w:next w:val="1"/>
    <w:link w:val="39"/>
    <w:autoRedefine/>
    <w:semiHidden/>
    <w:unhideWhenUsed/>
    <w:qFormat/>
    <w:uiPriority w:val="99"/>
    <w:pPr>
      <w:ind w:left="100" w:leftChars="2500"/>
    </w:pPr>
  </w:style>
  <w:style w:type="paragraph" w:styleId="8">
    <w:name w:val="Balloon Text"/>
    <w:basedOn w:val="1"/>
    <w:link w:val="38"/>
    <w:autoRedefine/>
    <w:semiHidden/>
    <w:unhideWhenUsed/>
    <w:qFormat/>
    <w:uiPriority w:val="99"/>
    <w:rPr>
      <w:sz w:val="18"/>
      <w:szCs w:val="18"/>
    </w:rPr>
  </w:style>
  <w:style w:type="paragraph" w:styleId="9">
    <w:name w:val="footer"/>
    <w:basedOn w:val="1"/>
    <w:link w:val="24"/>
    <w:autoRedefine/>
    <w:qFormat/>
    <w:uiPriority w:val="99"/>
    <w:pPr>
      <w:tabs>
        <w:tab w:val="center" w:pos="4153"/>
        <w:tab w:val="right" w:pos="8306"/>
      </w:tabs>
      <w:snapToGrid w:val="0"/>
      <w:jc w:val="left"/>
    </w:pPr>
    <w:rPr>
      <w:sz w:val="18"/>
      <w:szCs w:val="18"/>
    </w:rPr>
  </w:style>
  <w:style w:type="paragraph" w:styleId="10">
    <w:name w:val="header"/>
    <w:basedOn w:val="1"/>
    <w:link w:val="23"/>
    <w:autoRedefine/>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autoRedefine/>
    <w:qFormat/>
    <w:locked/>
    <w:uiPriority w:val="39"/>
    <w:pPr>
      <w:widowControl/>
      <w:tabs>
        <w:tab w:val="right" w:leader="dot" w:pos="8296"/>
      </w:tabs>
      <w:spacing w:beforeLines="50" w:line="360" w:lineRule="auto"/>
      <w:jc w:val="left"/>
    </w:pPr>
    <w:rPr>
      <w:rFonts w:asciiTheme="minorEastAsia" w:hAnsiTheme="minorEastAsia" w:eastAsiaTheme="minorEastAsia" w:cstheme="minorBidi"/>
      <w:color w:val="000000" w:themeColor="text1"/>
      <w:kern w:val="0"/>
      <w:sz w:val="24"/>
      <w14:textFill>
        <w14:solidFill>
          <w14:schemeClr w14:val="tx1"/>
        </w14:solidFill>
      </w14:textFill>
    </w:rPr>
  </w:style>
  <w:style w:type="paragraph" w:styleId="12">
    <w:name w:val="Title"/>
    <w:basedOn w:val="1"/>
    <w:next w:val="1"/>
    <w:link w:val="22"/>
    <w:autoRedefine/>
    <w:qFormat/>
    <w:uiPriority w:val="99"/>
    <w:pPr>
      <w:spacing w:before="240" w:after="60"/>
      <w:jc w:val="center"/>
      <w:outlineLvl w:val="0"/>
    </w:pPr>
    <w:rPr>
      <w:rFonts w:ascii="Cambria" w:hAnsi="Cambria"/>
      <w:b/>
      <w:bCs/>
      <w:sz w:val="32"/>
      <w:szCs w:val="32"/>
    </w:rPr>
  </w:style>
  <w:style w:type="paragraph" w:styleId="13">
    <w:name w:val="annotation subject"/>
    <w:basedOn w:val="5"/>
    <w:next w:val="5"/>
    <w:link w:val="37"/>
    <w:autoRedefine/>
    <w:semiHidden/>
    <w:unhideWhenUsed/>
    <w:qFormat/>
    <w:uiPriority w:val="99"/>
    <w:rPr>
      <w:b/>
      <w:bCs/>
    </w:rPr>
  </w:style>
  <w:style w:type="table" w:styleId="15">
    <w:name w:val="Table Grid"/>
    <w:basedOn w:val="14"/>
    <w:autoRedefine/>
    <w:qFormat/>
    <w:locked/>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autoRedefine/>
    <w:unhideWhenUsed/>
    <w:qFormat/>
    <w:uiPriority w:val="99"/>
  </w:style>
  <w:style w:type="character" w:styleId="18">
    <w:name w:val="Hyperlink"/>
    <w:basedOn w:val="16"/>
    <w:autoRedefine/>
    <w:unhideWhenUsed/>
    <w:qFormat/>
    <w:uiPriority w:val="99"/>
    <w:rPr>
      <w:color w:val="0000FF" w:themeColor="hyperlink"/>
      <w:u w:val="single"/>
      <w14:textFill>
        <w14:solidFill>
          <w14:schemeClr w14:val="hlink"/>
        </w14:solidFill>
      </w14:textFill>
    </w:rPr>
  </w:style>
  <w:style w:type="character" w:styleId="19">
    <w:name w:val="annotation reference"/>
    <w:basedOn w:val="16"/>
    <w:autoRedefine/>
    <w:unhideWhenUsed/>
    <w:qFormat/>
    <w:uiPriority w:val="0"/>
    <w:rPr>
      <w:sz w:val="21"/>
      <w:szCs w:val="21"/>
    </w:rPr>
  </w:style>
  <w:style w:type="character" w:customStyle="1" w:styleId="20">
    <w:name w:val="标题 1 字符"/>
    <w:link w:val="2"/>
    <w:autoRedefine/>
    <w:qFormat/>
    <w:locked/>
    <w:uiPriority w:val="0"/>
    <w:rPr>
      <w:b/>
      <w:kern w:val="44"/>
      <w:sz w:val="44"/>
    </w:rPr>
  </w:style>
  <w:style w:type="character" w:customStyle="1" w:styleId="21">
    <w:name w:val="标题 3 字符"/>
    <w:link w:val="3"/>
    <w:autoRedefine/>
    <w:qFormat/>
    <w:locked/>
    <w:uiPriority w:val="0"/>
    <w:rPr>
      <w:b/>
      <w:kern w:val="2"/>
      <w:sz w:val="32"/>
    </w:rPr>
  </w:style>
  <w:style w:type="character" w:customStyle="1" w:styleId="22">
    <w:name w:val="标题 字符"/>
    <w:link w:val="12"/>
    <w:autoRedefine/>
    <w:qFormat/>
    <w:locked/>
    <w:uiPriority w:val="99"/>
    <w:rPr>
      <w:rFonts w:ascii="Cambria" w:hAnsi="Cambria"/>
      <w:b/>
      <w:kern w:val="2"/>
      <w:sz w:val="32"/>
    </w:rPr>
  </w:style>
  <w:style w:type="character" w:customStyle="1" w:styleId="23">
    <w:name w:val="页眉 字符"/>
    <w:link w:val="10"/>
    <w:autoRedefine/>
    <w:qFormat/>
    <w:locked/>
    <w:uiPriority w:val="99"/>
    <w:rPr>
      <w:kern w:val="2"/>
      <w:sz w:val="18"/>
    </w:rPr>
  </w:style>
  <w:style w:type="character" w:customStyle="1" w:styleId="24">
    <w:name w:val="页脚 字符"/>
    <w:link w:val="9"/>
    <w:autoRedefine/>
    <w:qFormat/>
    <w:locked/>
    <w:uiPriority w:val="99"/>
    <w:rPr>
      <w:kern w:val="2"/>
      <w:sz w:val="18"/>
    </w:rPr>
  </w:style>
  <w:style w:type="paragraph" w:customStyle="1" w:styleId="25">
    <w:name w:val="段"/>
    <w:link w:val="26"/>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6">
    <w:name w:val="段 Char"/>
    <w:link w:val="25"/>
    <w:autoRedefine/>
    <w:qFormat/>
    <w:locked/>
    <w:uiPriority w:val="0"/>
    <w:rPr>
      <w:rFonts w:ascii="宋体"/>
      <w:sz w:val="21"/>
    </w:rPr>
  </w:style>
  <w:style w:type="character" w:customStyle="1" w:styleId="27">
    <w:name w:val="正文文本缩进 字符"/>
    <w:link w:val="6"/>
    <w:autoRedefine/>
    <w:qFormat/>
    <w:locked/>
    <w:uiPriority w:val="99"/>
    <w:rPr>
      <w:kern w:val="2"/>
      <w:sz w:val="24"/>
    </w:rPr>
  </w:style>
  <w:style w:type="paragraph" w:customStyle="1" w:styleId="28">
    <w:name w:val="p0"/>
    <w:basedOn w:val="1"/>
    <w:autoRedefine/>
    <w:qFormat/>
    <w:uiPriority w:val="99"/>
    <w:pPr>
      <w:widowControl/>
    </w:pPr>
    <w:rPr>
      <w:rFonts w:ascii="仿宋_GB2312" w:hAnsi="宋体" w:eastAsia="仿宋_GB2312" w:cs="宋体"/>
      <w:spacing w:val="-4"/>
      <w:kern w:val="0"/>
      <w:sz w:val="32"/>
      <w:szCs w:val="32"/>
    </w:rPr>
  </w:style>
  <w:style w:type="paragraph" w:customStyle="1" w:styleId="29">
    <w:name w:val="一级条标题"/>
    <w:next w:val="25"/>
    <w:autoRedefine/>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30">
    <w:name w:val="章标题"/>
    <w:next w:val="25"/>
    <w:autoRedefine/>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31">
    <w:name w:val="二级条标题"/>
    <w:basedOn w:val="29"/>
    <w:next w:val="25"/>
    <w:autoRedefine/>
    <w:qFormat/>
    <w:uiPriority w:val="0"/>
    <w:pPr>
      <w:numPr>
        <w:ilvl w:val="2"/>
      </w:numPr>
      <w:spacing w:before="50" w:after="50"/>
      <w:outlineLvl w:val="3"/>
    </w:pPr>
  </w:style>
  <w:style w:type="paragraph" w:customStyle="1" w:styleId="32">
    <w:name w:val="三级条标题"/>
    <w:basedOn w:val="31"/>
    <w:next w:val="25"/>
    <w:autoRedefine/>
    <w:qFormat/>
    <w:uiPriority w:val="0"/>
    <w:pPr>
      <w:numPr>
        <w:ilvl w:val="3"/>
      </w:numPr>
      <w:outlineLvl w:val="4"/>
    </w:pPr>
  </w:style>
  <w:style w:type="paragraph" w:customStyle="1" w:styleId="33">
    <w:name w:val="四级条标题"/>
    <w:basedOn w:val="32"/>
    <w:next w:val="25"/>
    <w:autoRedefine/>
    <w:qFormat/>
    <w:uiPriority w:val="0"/>
    <w:pPr>
      <w:numPr>
        <w:ilvl w:val="4"/>
      </w:numPr>
      <w:outlineLvl w:val="5"/>
    </w:pPr>
  </w:style>
  <w:style w:type="paragraph" w:customStyle="1" w:styleId="34">
    <w:name w:val="五级条标题"/>
    <w:basedOn w:val="33"/>
    <w:next w:val="25"/>
    <w:autoRedefine/>
    <w:qFormat/>
    <w:uiPriority w:val="0"/>
    <w:pPr>
      <w:numPr>
        <w:ilvl w:val="5"/>
      </w:numPr>
      <w:outlineLvl w:val="6"/>
    </w:pPr>
  </w:style>
  <w:style w:type="character" w:customStyle="1" w:styleId="35">
    <w:name w:val="文档结构图 字符"/>
    <w:link w:val="4"/>
    <w:autoRedefine/>
    <w:semiHidden/>
    <w:qFormat/>
    <w:locked/>
    <w:uiPriority w:val="99"/>
    <w:rPr>
      <w:sz w:val="2"/>
    </w:rPr>
  </w:style>
  <w:style w:type="character" w:customStyle="1" w:styleId="36">
    <w:name w:val="批注文字 字符"/>
    <w:basedOn w:val="16"/>
    <w:link w:val="5"/>
    <w:autoRedefine/>
    <w:qFormat/>
    <w:uiPriority w:val="0"/>
    <w:rPr>
      <w:kern w:val="2"/>
      <w:sz w:val="21"/>
      <w:szCs w:val="24"/>
    </w:rPr>
  </w:style>
  <w:style w:type="character" w:customStyle="1" w:styleId="37">
    <w:name w:val="批注主题 字符"/>
    <w:basedOn w:val="36"/>
    <w:link w:val="13"/>
    <w:autoRedefine/>
    <w:semiHidden/>
    <w:qFormat/>
    <w:uiPriority w:val="99"/>
    <w:rPr>
      <w:b/>
      <w:bCs/>
      <w:kern w:val="2"/>
      <w:sz w:val="21"/>
      <w:szCs w:val="24"/>
    </w:rPr>
  </w:style>
  <w:style w:type="character" w:customStyle="1" w:styleId="38">
    <w:name w:val="批注框文本 字符"/>
    <w:basedOn w:val="16"/>
    <w:link w:val="8"/>
    <w:autoRedefine/>
    <w:semiHidden/>
    <w:qFormat/>
    <w:uiPriority w:val="99"/>
    <w:rPr>
      <w:kern w:val="2"/>
      <w:sz w:val="18"/>
      <w:szCs w:val="18"/>
    </w:rPr>
  </w:style>
  <w:style w:type="character" w:customStyle="1" w:styleId="39">
    <w:name w:val="日期 字符"/>
    <w:basedOn w:val="16"/>
    <w:link w:val="7"/>
    <w:autoRedefine/>
    <w:semiHidden/>
    <w:qFormat/>
    <w:uiPriority w:val="99"/>
    <w:rPr>
      <w:kern w:val="2"/>
      <w:sz w:val="21"/>
      <w:szCs w:val="24"/>
    </w:rPr>
  </w:style>
  <w:style w:type="paragraph" w:styleId="40">
    <w:name w:val="List Paragraph"/>
    <w:basedOn w:val="1"/>
    <w:autoRedefine/>
    <w:qFormat/>
    <w:uiPriority w:val="34"/>
    <w:pPr>
      <w:ind w:firstLine="420" w:firstLineChars="200"/>
    </w:pPr>
  </w:style>
  <w:style w:type="paragraph" w:customStyle="1" w:styleId="41">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42">
    <w:name w:val="修订1"/>
    <w:autoRedefine/>
    <w:hidden/>
    <w:semiHidden/>
    <w:qFormat/>
    <w:uiPriority w:val="99"/>
    <w:rPr>
      <w:rFonts w:ascii="Times New Roman" w:hAnsi="Times New Roman" w:eastAsia="宋体" w:cs="Times New Roman"/>
      <w:kern w:val="2"/>
      <w:sz w:val="21"/>
      <w:szCs w:val="24"/>
      <w:lang w:val="en-US" w:eastAsia="zh-CN" w:bidi="ar-SA"/>
    </w:rPr>
  </w:style>
  <w:style w:type="paragraph" w:customStyle="1" w:styleId="43">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4">
    <w:name w:val="标准文件_二级无标题"/>
    <w:basedOn w:val="45"/>
    <w:autoRedefine/>
    <w:qFormat/>
    <w:uiPriority w:val="0"/>
    <w:pPr>
      <w:spacing w:beforeLines="0" w:afterLines="0"/>
      <w:outlineLvl w:val="9"/>
    </w:pPr>
    <w:rPr>
      <w:rFonts w:ascii="宋体" w:eastAsia="宋体"/>
    </w:rPr>
  </w:style>
  <w:style w:type="paragraph" w:customStyle="1" w:styleId="45">
    <w:name w:val="标准文件_二级条标题"/>
    <w:next w:val="43"/>
    <w:autoRedefine/>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paragraph" w:customStyle="1" w:styleId="46">
    <w:name w:val="标准文件_一级无标题"/>
    <w:basedOn w:val="47"/>
    <w:qFormat/>
    <w:uiPriority w:val="0"/>
    <w:pPr>
      <w:spacing w:before="0" w:beforeLines="0" w:after="0" w:afterLines="0"/>
      <w:outlineLvl w:val="9"/>
    </w:pPr>
    <w:rPr>
      <w:rFonts w:ascii="宋体" w:eastAsia="宋体"/>
    </w:rPr>
  </w:style>
  <w:style w:type="paragraph" w:customStyle="1" w:styleId="47">
    <w:name w:val="标准文件_一级条标题"/>
    <w:basedOn w:val="48"/>
    <w:next w:val="43"/>
    <w:qFormat/>
    <w:uiPriority w:val="0"/>
    <w:pPr>
      <w:numPr>
        <w:ilvl w:val="2"/>
      </w:numPr>
      <w:spacing w:before="50" w:beforeLines="50" w:after="50" w:afterLines="50"/>
      <w:outlineLvl w:val="1"/>
    </w:pPr>
  </w:style>
  <w:style w:type="paragraph" w:customStyle="1" w:styleId="48">
    <w:name w:val="标准文件_章标题"/>
    <w:next w:val="4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8B80D-C9C8-496B-A835-2FC1F2EA92A2}">
  <ds:schemaRefs/>
</ds:datastoreItem>
</file>

<file path=docProps/app.xml><?xml version="1.0" encoding="utf-8"?>
<Properties xmlns="http://schemas.openxmlformats.org/officeDocument/2006/extended-properties" xmlns:vt="http://schemas.openxmlformats.org/officeDocument/2006/docPropsVTypes">
  <Template>Normal</Template>
  <Pages>10</Pages>
  <Words>5155</Words>
  <Characters>5416</Characters>
  <Lines>45</Lines>
  <Paragraphs>12</Paragraphs>
  <TotalTime>5</TotalTime>
  <ScaleCrop>false</ScaleCrop>
  <LinksUpToDate>false</LinksUpToDate>
  <CharactersWithSpaces>5534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2024-05-15T06:52:00Z</dcterms:created>
  <dc:creator>X</dc:creator>
  <cp:lastModifiedBy>小兵张嘎李继春</cp:lastModifiedBy>
  <cp:lastPrinted>2019-03-18T10:10:00Z</cp:lastPrinted>
  <dcterms:modified xsi:type="dcterms:W3CDTF">2024-08-12T00:23:31Z</dcterms:modified>
  <dc:title>《系列2集装箱 分类、尺寸和额定质量》</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74B14F0752964593975B863B2F6E2AB6_13</vt:lpwstr>
  </property>
</Properties>
</file>