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5DE1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001F0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2B21BB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55.180.10</w:t>
            </w:r>
            <w:r>
              <w:rPr>
                <w:rFonts w:ascii="黑体" w:hAnsi="黑体" w:eastAsia="黑体"/>
                <w:sz w:val="21"/>
                <w:szCs w:val="21"/>
              </w:rPr>
              <w:fldChar w:fldCharType="end"/>
            </w:r>
            <w:bookmarkEnd w:id="0"/>
          </w:p>
        </w:tc>
      </w:tr>
      <w:tr w14:paraId="20224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40B85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84BBCB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1EC10C3">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CPHA</w:t>
                  </w:r>
                  <w:r>
                    <w:fldChar w:fldCharType="end"/>
                  </w:r>
                  <w:bookmarkEnd w:id="1"/>
                </w:p>
              </w:tc>
            </w:tr>
          </w:tbl>
          <w:p w14:paraId="7C92A07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A85</w:t>
            </w:r>
            <w:r>
              <w:rPr>
                <w:rFonts w:ascii="黑体" w:hAnsi="黑体" w:eastAsia="黑体"/>
                <w:sz w:val="21"/>
                <w:szCs w:val="21"/>
              </w:rPr>
              <w:fldChar w:fldCharType="end"/>
            </w:r>
            <w:bookmarkEnd w:id="2"/>
          </w:p>
        </w:tc>
      </w:tr>
    </w:tbl>
    <w:p w14:paraId="5E07C258">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AB79869">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05EEA4F">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4F9D5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D53AE68">
      <w:pPr>
        <w:pStyle w:val="50"/>
        <w:framePr w:w="9639" w:h="6976" w:hRule="exact" w:hSpace="0" w:vSpace="0" w:wrap="around" w:hAnchor="page" w:y="6408"/>
        <w:jc w:val="center"/>
        <w:rPr>
          <w:rFonts w:ascii="黑体" w:hAnsi="黑体" w:eastAsia="黑体"/>
          <w:b w:val="0"/>
          <w:bCs w:val="0"/>
          <w:w w:val="100"/>
        </w:rPr>
      </w:pPr>
    </w:p>
    <w:p w14:paraId="7E568E3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集装箱低轨道卫星通讯终端技术要求</w:t>
      </w:r>
      <w:r>
        <w:fldChar w:fldCharType="end"/>
      </w:r>
      <w:bookmarkEnd w:id="9"/>
    </w:p>
    <w:p w14:paraId="599BBEC8">
      <w:pPr>
        <w:framePr w:w="9639" w:h="6974" w:hRule="exact" w:wrap="around" w:vAnchor="page" w:hAnchor="page" w:x="1419" w:y="6408" w:anchorLock="1"/>
        <w:ind w:left="-1418"/>
      </w:pPr>
    </w:p>
    <w:p w14:paraId="46F2EBF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requirements for leo satellite communication device of container</w:t>
      </w:r>
      <w:r>
        <w:rPr>
          <w:rFonts w:eastAsia="黑体"/>
          <w:szCs w:val="28"/>
        </w:rPr>
        <w:fldChar w:fldCharType="end"/>
      </w:r>
      <w:bookmarkEnd w:id="10"/>
    </w:p>
    <w:p w14:paraId="7053B02E">
      <w:pPr>
        <w:framePr w:w="9639" w:h="6974" w:hRule="exact" w:wrap="around" w:vAnchor="page" w:hAnchor="page" w:x="1419" w:y="6408" w:anchorLock="1"/>
        <w:spacing w:line="760" w:lineRule="exact"/>
        <w:ind w:left="-1418"/>
      </w:pPr>
    </w:p>
    <w:p w14:paraId="559AD729">
      <w:pPr>
        <w:pStyle w:val="125"/>
        <w:framePr w:w="9639" w:h="6974" w:hRule="exact" w:wrap="around" w:vAnchor="page" w:hAnchor="page" w:x="1419" w:y="6408" w:anchorLock="1"/>
        <w:textAlignment w:val="bottom"/>
        <w:rPr>
          <w:rFonts w:eastAsia="黑体"/>
          <w:szCs w:val="28"/>
        </w:rPr>
      </w:pPr>
    </w:p>
    <w:p w14:paraId="303D22E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46FC33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lang w:val="en-US" w:eastAsia="zh-CN"/>
        </w:rPr>
        <w:t>4</w:t>
      </w:r>
      <w:r>
        <w:rPr>
          <w:sz w:val="21"/>
          <w:szCs w:val="28"/>
        </w:rPr>
        <w:t>.0</w:t>
      </w:r>
      <w:r>
        <w:rPr>
          <w:rFonts w:hint="eastAsia"/>
          <w:sz w:val="21"/>
          <w:szCs w:val="28"/>
          <w:lang w:val="en-US" w:eastAsia="zh-CN"/>
        </w:rPr>
        <w:t>8</w:t>
      </w:r>
      <w:r>
        <w:rPr>
          <w:rFonts w:hint="eastAsia"/>
          <w:sz w:val="21"/>
          <w:szCs w:val="28"/>
        </w:rPr>
        <w:t>）</w:t>
      </w:r>
      <w:r>
        <w:rPr>
          <w:sz w:val="21"/>
          <w:szCs w:val="28"/>
        </w:rPr>
        <w:fldChar w:fldCharType="end"/>
      </w:r>
      <w:bookmarkEnd w:id="12"/>
    </w:p>
    <w:p w14:paraId="3EA0042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BCBD50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5B7983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F56BAA4">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135F65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2D049BD">
      <w:pPr>
        <w:pStyle w:val="91"/>
        <w:spacing w:after="360"/>
        <w:rPr>
          <w:rFonts w:hint="eastAsia"/>
        </w:rPr>
      </w:pPr>
      <w:bookmarkStart w:id="21" w:name="BookMark1"/>
      <w:bookmarkStart w:id="22" w:name="_Toc71955470"/>
      <w:r>
        <w:rPr>
          <w:rFonts w:hint="eastAsia"/>
          <w:spacing w:val="320"/>
        </w:rPr>
        <w:t>目</w:t>
      </w:r>
      <w:r>
        <w:rPr>
          <w:rFonts w:hint="eastAsia"/>
        </w:rPr>
        <w:t>次</w:t>
      </w:r>
    </w:p>
    <w:p w14:paraId="2B6956FD">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"_Toc71955840" </w:instrText>
      </w:r>
      <w:r>
        <w:fldChar w:fldCharType="separate"/>
      </w:r>
      <w:r>
        <w:rPr>
          <w:rStyle w:val="32"/>
        </w:rPr>
        <w:t>前言</w:t>
      </w:r>
      <w:r>
        <w:tab/>
      </w:r>
      <w:r>
        <w:fldChar w:fldCharType="begin"/>
      </w:r>
      <w:r>
        <w:instrText xml:space="preserve"> PAGEREF _Toc71955840 \h </w:instrText>
      </w:r>
      <w:r>
        <w:fldChar w:fldCharType="separate"/>
      </w:r>
      <w:r>
        <w:t>II</w:t>
      </w:r>
      <w:r>
        <w:fldChar w:fldCharType="end"/>
      </w:r>
      <w:r>
        <w:fldChar w:fldCharType="end"/>
      </w:r>
    </w:p>
    <w:p w14:paraId="033AED73">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"_Toc71955841" </w:instrText>
      </w:r>
      <w:r>
        <w:fldChar w:fldCharType="separate"/>
      </w:r>
      <w:r>
        <w:rPr>
          <w:rStyle w:val="32"/>
        </w:rPr>
        <w:t>1  范围</w:t>
      </w:r>
      <w:r>
        <w:tab/>
      </w:r>
      <w:r>
        <w:fldChar w:fldCharType="begin"/>
      </w:r>
      <w:r>
        <w:instrText xml:space="preserve"> PAGEREF _Toc71955841 \h </w:instrText>
      </w:r>
      <w:r>
        <w:fldChar w:fldCharType="separate"/>
      </w:r>
      <w:r>
        <w:t>1</w:t>
      </w:r>
      <w:r>
        <w:fldChar w:fldCharType="end"/>
      </w:r>
      <w:r>
        <w:fldChar w:fldCharType="end"/>
      </w:r>
    </w:p>
    <w:p w14:paraId="06B3F779">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"_Toc71955842" </w:instrText>
      </w:r>
      <w:r>
        <w:fldChar w:fldCharType="separate"/>
      </w:r>
      <w:r>
        <w:rPr>
          <w:rStyle w:val="32"/>
        </w:rPr>
        <w:t>2  规范性引用文件</w:t>
      </w:r>
      <w:r>
        <w:tab/>
      </w:r>
      <w:r>
        <w:fldChar w:fldCharType="begin"/>
      </w:r>
      <w:r>
        <w:instrText xml:space="preserve"> PAGEREF _Toc71955842 \h </w:instrText>
      </w:r>
      <w:r>
        <w:fldChar w:fldCharType="separate"/>
      </w:r>
      <w:r>
        <w:t>1</w:t>
      </w:r>
      <w:r>
        <w:fldChar w:fldCharType="end"/>
      </w:r>
      <w:r>
        <w:fldChar w:fldCharType="end"/>
      </w:r>
    </w:p>
    <w:p w14:paraId="41299442">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"_Toc71955843" </w:instrText>
      </w:r>
      <w:r>
        <w:fldChar w:fldCharType="separate"/>
      </w:r>
      <w:r>
        <w:rPr>
          <w:rStyle w:val="32"/>
        </w:rPr>
        <w:t>3  术语和定义</w:t>
      </w:r>
      <w:r>
        <w:tab/>
      </w:r>
      <w:r>
        <w:fldChar w:fldCharType="begin"/>
      </w:r>
      <w:r>
        <w:instrText xml:space="preserve"> PAGEREF _Toc71955843 \h </w:instrText>
      </w:r>
      <w:r>
        <w:fldChar w:fldCharType="separate"/>
      </w:r>
      <w:r>
        <w:t>1</w:t>
      </w:r>
      <w:r>
        <w:fldChar w:fldCharType="end"/>
      </w:r>
      <w:r>
        <w:fldChar w:fldCharType="end"/>
      </w:r>
    </w:p>
    <w:p w14:paraId="73297464">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"_Toc71955844" </w:instrText>
      </w:r>
      <w:r>
        <w:fldChar w:fldCharType="separate"/>
      </w:r>
      <w:r>
        <w:rPr>
          <w:rStyle w:val="32"/>
        </w:rPr>
        <w:t>4  缩略语</w:t>
      </w:r>
      <w:r>
        <w:tab/>
      </w:r>
      <w:r>
        <w:fldChar w:fldCharType="begin"/>
      </w:r>
      <w:r>
        <w:instrText xml:space="preserve"> PAGEREF _Toc71955844 \h </w:instrText>
      </w:r>
      <w:r>
        <w:fldChar w:fldCharType="separate"/>
      </w:r>
      <w:r>
        <w:t>1</w:t>
      </w:r>
      <w:r>
        <w:fldChar w:fldCharType="end"/>
      </w:r>
      <w:r>
        <w:fldChar w:fldCharType="end"/>
      </w:r>
    </w:p>
    <w:p w14:paraId="18631BBD">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"_Toc71955845" </w:instrText>
      </w:r>
      <w:r>
        <w:fldChar w:fldCharType="separate"/>
      </w:r>
      <w:r>
        <w:rPr>
          <w:rStyle w:val="32"/>
        </w:rPr>
        <w:t>5  构成</w:t>
      </w:r>
      <w:r>
        <w:rPr>
          <w:rStyle w:val="32"/>
          <w:rFonts w:hint="eastAsia"/>
          <w:lang w:val="en-US" w:eastAsia="zh-CN"/>
        </w:rPr>
        <w:t>与分类</w:t>
      </w:r>
      <w:r>
        <w:tab/>
      </w:r>
      <w:r>
        <w:rPr>
          <w:rFonts w:hint="eastAsia"/>
          <w:lang w:val="en-US" w:eastAsia="zh-CN"/>
        </w:rPr>
        <w:t>2</w:t>
      </w:r>
      <w:r>
        <w:fldChar w:fldCharType="end"/>
      </w:r>
    </w:p>
    <w:p w14:paraId="2D2BDB6E">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"_Toc71955846" </w:instrText>
      </w:r>
      <w:r>
        <w:fldChar w:fldCharType="separate"/>
      </w:r>
      <w:r>
        <w:rPr>
          <w:rStyle w:val="32"/>
        </w:rPr>
        <w:t xml:space="preserve">6  </w:t>
      </w:r>
      <w:r>
        <w:rPr>
          <w:rStyle w:val="32"/>
          <w:rFonts w:hint="eastAsia"/>
          <w:lang w:val="en-US" w:eastAsia="zh-CN"/>
        </w:rPr>
        <w:t>技术</w:t>
      </w:r>
      <w:r>
        <w:rPr>
          <w:rStyle w:val="32"/>
        </w:rPr>
        <w:t>要求</w:t>
      </w:r>
      <w:r>
        <w:tab/>
      </w:r>
      <w:r>
        <w:rPr>
          <w:rFonts w:hint="eastAsia"/>
          <w:lang w:val="en-US" w:eastAsia="zh-CN"/>
        </w:rPr>
        <w:t>3</w:t>
      </w:r>
      <w:r>
        <w:fldChar w:fldCharType="end"/>
      </w:r>
    </w:p>
    <w:p w14:paraId="4E851044">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"_Toc71955850" </w:instrText>
      </w:r>
      <w:r>
        <w:fldChar w:fldCharType="separate"/>
      </w:r>
      <w:r>
        <w:rPr>
          <w:rStyle w:val="32"/>
          <w:rFonts w:hint="eastAsia"/>
          <w:lang w:val="en-US" w:eastAsia="zh-CN"/>
        </w:rPr>
        <w:t>7</w:t>
      </w:r>
      <w:r>
        <w:rPr>
          <w:rStyle w:val="32"/>
        </w:rPr>
        <w:t xml:space="preserve">  安全管理</w:t>
      </w:r>
      <w:r>
        <w:tab/>
      </w:r>
      <w:r>
        <w:fldChar w:fldCharType="begin"/>
      </w:r>
      <w:r>
        <w:instrText xml:space="preserve"> PAGEREF _Toc71955850 \h </w:instrText>
      </w:r>
      <w:r>
        <w:fldChar w:fldCharType="separate"/>
      </w:r>
      <w:r>
        <w:t>6</w:t>
      </w:r>
      <w:r>
        <w:fldChar w:fldCharType="end"/>
      </w:r>
      <w:r>
        <w:fldChar w:fldCharType="end"/>
      </w:r>
    </w:p>
    <w:p w14:paraId="61CDEE8C">
      <w:pPr>
        <w:pStyle w:val="19"/>
        <w:tabs>
          <w:tab w:val="right" w:leader="dot" w:pos="9344"/>
        </w:tabs>
        <w:rPr>
          <w:rFonts w:asciiTheme="minorHAnsi" w:hAnsiTheme="minorHAnsi" w:eastAsiaTheme="minorEastAsia" w:cstheme="minorBidi"/>
          <w:szCs w:val="22"/>
        </w:rPr>
      </w:pPr>
      <w:r>
        <w:fldChar w:fldCharType="begin"/>
      </w:r>
      <w:r>
        <w:instrText xml:space="preserve"> HYPERLINK \l "_Toc71955851" </w:instrText>
      </w:r>
      <w:r>
        <w:fldChar w:fldCharType="separate"/>
      </w:r>
      <w:r>
        <w:rPr>
          <w:rStyle w:val="32"/>
          <w:rFonts w:hint="eastAsia"/>
          <w:lang w:val="en-US" w:eastAsia="zh-CN"/>
        </w:rPr>
        <w:t>8</w:t>
      </w:r>
      <w:r>
        <w:rPr>
          <w:rStyle w:val="32"/>
        </w:rPr>
        <w:t xml:space="preserve">  标识和标记</w:t>
      </w:r>
      <w:r>
        <w:tab/>
      </w:r>
      <w:r>
        <w:fldChar w:fldCharType="begin"/>
      </w:r>
      <w:r>
        <w:instrText xml:space="preserve"> PAGEREF _Toc71955851 \h </w:instrText>
      </w:r>
      <w:r>
        <w:fldChar w:fldCharType="separate"/>
      </w:r>
      <w:r>
        <w:t>6</w:t>
      </w:r>
      <w:r>
        <w:fldChar w:fldCharType="end"/>
      </w:r>
      <w:r>
        <w:fldChar w:fldCharType="end"/>
      </w:r>
    </w:p>
    <w:p w14:paraId="5D92AA86">
      <w:pPr>
        <w:pStyle w:val="91"/>
        <w:spacing w:after="360"/>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linePitch="312" w:charSpace="0"/>
        </w:sectPr>
      </w:pPr>
      <w:r>
        <w:fldChar w:fldCharType="end"/>
      </w:r>
    </w:p>
    <w:bookmarkEnd w:id="21"/>
    <w:p w14:paraId="5B0E27B7">
      <w:pPr>
        <w:pStyle w:val="89"/>
        <w:spacing w:after="360"/>
      </w:pPr>
      <w:bookmarkStart w:id="23" w:name="_Toc71955840"/>
      <w:bookmarkStart w:id="24" w:name="BookMark2"/>
      <w:r>
        <w:rPr>
          <w:spacing w:val="320"/>
        </w:rPr>
        <w:t>前</w:t>
      </w:r>
      <w:r>
        <w:t>言</w:t>
      </w:r>
      <w:bookmarkEnd w:id="22"/>
      <w:bookmarkEnd w:id="23"/>
    </w:p>
    <w:p w14:paraId="1D1305DE">
      <w:pPr>
        <w:pStyle w:val="56"/>
        <w:ind w:firstLine="420"/>
      </w:pPr>
      <w:r>
        <w:rPr>
          <w:rFonts w:hint="eastAsia"/>
        </w:rPr>
        <w:t>本文件按照GB/T 1.1—2020《标准化工作导则  第1部分：标准化文件的结构和起草规则》的规定起草。</w:t>
      </w:r>
    </w:p>
    <w:p w14:paraId="1FA3F07A">
      <w:pPr>
        <w:pStyle w:val="56"/>
        <w:ind w:firstLine="420"/>
      </w:pPr>
      <w:bookmarkStart w:id="25" w:name="_Hlk71953181"/>
      <w:r>
        <w:rPr>
          <w:rFonts w:hint="eastAsia"/>
        </w:rPr>
        <w:t>本文件由中国港口协会提出。</w:t>
      </w:r>
    </w:p>
    <w:p w14:paraId="6F4D4724">
      <w:pPr>
        <w:pStyle w:val="56"/>
        <w:ind w:firstLine="420"/>
      </w:pPr>
      <w:r>
        <w:rPr>
          <w:rFonts w:hint="eastAsia"/>
        </w:rPr>
        <w:t>本文件由中国港口协会归口。</w:t>
      </w:r>
    </w:p>
    <w:p w14:paraId="02AF3395">
      <w:pPr>
        <w:pStyle w:val="56"/>
        <w:ind w:firstLine="420"/>
      </w:pPr>
      <w:r>
        <w:rPr>
          <w:rFonts w:hint="eastAsia"/>
        </w:rPr>
        <w:t>本文件起草单位：北京国电高科科技有限公司、交通运输部水运科学研究院、上海国际港务（集团）有限公司</w:t>
      </w:r>
      <w:r>
        <w:rPr>
          <w:rFonts w:hint="eastAsia"/>
          <w:lang w:eastAsia="zh-CN"/>
        </w:rPr>
        <w:t>、</w:t>
      </w:r>
      <w:r>
        <w:rPr>
          <w:rFonts w:hint="eastAsia"/>
          <w:lang w:val="en-US" w:eastAsia="zh-CN"/>
        </w:rPr>
        <w:t>武汉理工大学、福建金航国际货运代理有限公司、深圳中集智能科技有限公司</w:t>
      </w:r>
      <w:r>
        <w:rPr>
          <w:rFonts w:hint="eastAsia"/>
        </w:rPr>
        <w:t>。</w:t>
      </w:r>
    </w:p>
    <w:p w14:paraId="165A8637">
      <w:pPr>
        <w:pStyle w:val="56"/>
        <w:ind w:firstLine="420"/>
      </w:pPr>
      <w:r>
        <w:rPr>
          <w:rFonts w:hint="eastAsia"/>
        </w:rPr>
        <w:t>本文件主要起草人：吕强、李继春、姚青</w:t>
      </w:r>
      <w:bookmarkStart w:id="104" w:name="_GoBack"/>
      <w:bookmarkEnd w:id="104"/>
      <w:r>
        <w:rPr>
          <w:rFonts w:hint="eastAsia"/>
        </w:rPr>
        <w:t>、马萍、郭中甲、陈智勇、刘志平、</w:t>
      </w:r>
      <w:r>
        <w:rPr>
          <w:rFonts w:hint="eastAsia"/>
          <w:lang w:eastAsia="zh-CN"/>
        </w:rPr>
        <w:t>周受钦</w:t>
      </w:r>
      <w:r>
        <w:rPr>
          <w:rFonts w:hint="eastAsia"/>
        </w:rPr>
        <w:t>。</w:t>
      </w:r>
    </w:p>
    <w:bookmarkEnd w:id="25"/>
    <w:p w14:paraId="4D5D06DB">
      <w:pPr>
        <w:pStyle w:val="56"/>
        <w:ind w:firstLine="420"/>
        <w:rPr>
          <w:rFonts w:hint="eastAsia"/>
        </w:rPr>
      </w:pPr>
    </w:p>
    <w:p w14:paraId="06B752D9">
      <w:pPr>
        <w:pStyle w:val="56"/>
        <w:ind w:firstLine="420"/>
      </w:pPr>
    </w:p>
    <w:p w14:paraId="68180AAB">
      <w:pPr>
        <w:pStyle w:val="56"/>
        <w:ind w:firstLine="420"/>
        <w:sectPr>
          <w:pgSz w:w="11906" w:h="16838"/>
          <w:pgMar w:top="567" w:right="1134" w:bottom="1134" w:left="1134" w:header="1418" w:footer="1134" w:gutter="284"/>
          <w:pgNumType w:fmt="upperRoman"/>
          <w:cols w:space="425" w:num="1"/>
          <w:formProt w:val="0"/>
          <w:docGrid w:linePitch="312" w:charSpace="0"/>
        </w:sectPr>
      </w:pPr>
    </w:p>
    <w:bookmarkEnd w:id="24"/>
    <w:p w14:paraId="695CB672">
      <w:pPr>
        <w:spacing w:line="20" w:lineRule="exact"/>
        <w:jc w:val="center"/>
        <w:rPr>
          <w:rFonts w:ascii="黑体" w:hAnsi="黑体" w:eastAsia="黑体"/>
          <w:sz w:val="32"/>
          <w:szCs w:val="32"/>
        </w:rPr>
      </w:pPr>
      <w:bookmarkStart w:id="26" w:name="BookMark4"/>
    </w:p>
    <w:p w14:paraId="24D016FF">
      <w:pPr>
        <w:spacing w:line="20" w:lineRule="exact"/>
        <w:jc w:val="center"/>
        <w:rPr>
          <w:rFonts w:ascii="黑体" w:hAnsi="黑体" w:eastAsia="黑体"/>
          <w:sz w:val="32"/>
          <w:szCs w:val="32"/>
        </w:rPr>
      </w:pPr>
    </w:p>
    <w:sdt>
      <w:sdtPr>
        <w:tag w:val="NEW_STAND_NAME"/>
        <w:id w:val="595910757"/>
        <w:lock w:val="sdtLocked"/>
        <w:placeholder>
          <w:docPart w:val="52FE2F45997E49BC9D83D5B2D840D300"/>
        </w:placeholder>
      </w:sdtPr>
      <w:sdtContent>
        <w:p w14:paraId="5E0EF779">
          <w:pPr>
            <w:pStyle w:val="177"/>
            <w:spacing w:before="240" w:beforeLines="100" w:after="528" w:afterLines="220"/>
          </w:pPr>
          <w:bookmarkStart w:id="27" w:name="NEW_STAND_NAME"/>
          <w:r>
            <w:rPr>
              <w:rFonts w:hint="eastAsia"/>
            </w:rPr>
            <w:t>集装箱低轨道卫星通讯终端技术要求</w:t>
          </w:r>
        </w:p>
      </w:sdtContent>
    </w:sdt>
    <w:bookmarkEnd w:id="27"/>
    <w:p w14:paraId="7F38B7B1">
      <w:pPr>
        <w:pStyle w:val="104"/>
        <w:spacing w:before="240" w:after="240"/>
      </w:pPr>
      <w:bookmarkStart w:id="28" w:name="_Toc24884218"/>
      <w:bookmarkStart w:id="29" w:name="_Toc24884211"/>
      <w:bookmarkStart w:id="30" w:name="_Toc26648465"/>
      <w:bookmarkStart w:id="31" w:name="_Toc71953894"/>
      <w:bookmarkStart w:id="32" w:name="_Toc26986771"/>
      <w:bookmarkStart w:id="33" w:name="_Toc26718930"/>
      <w:bookmarkStart w:id="34" w:name="_Toc17233325"/>
      <w:bookmarkStart w:id="35" w:name="_Toc17233333"/>
      <w:bookmarkStart w:id="36" w:name="_Toc71955841"/>
      <w:bookmarkStart w:id="37" w:name="_Toc26986530"/>
      <w:bookmarkStart w:id="38" w:name="_Toc71955471"/>
      <w:r>
        <w:rPr>
          <w:rFonts w:hint="eastAsia"/>
        </w:rPr>
        <w:t>范围</w:t>
      </w:r>
      <w:bookmarkEnd w:id="28"/>
      <w:bookmarkEnd w:id="29"/>
      <w:bookmarkEnd w:id="30"/>
      <w:bookmarkEnd w:id="31"/>
      <w:bookmarkEnd w:id="32"/>
      <w:bookmarkEnd w:id="33"/>
      <w:bookmarkEnd w:id="34"/>
      <w:bookmarkEnd w:id="35"/>
      <w:bookmarkEnd w:id="36"/>
      <w:bookmarkEnd w:id="37"/>
      <w:bookmarkEnd w:id="38"/>
    </w:p>
    <w:p w14:paraId="4E037ADB">
      <w:pPr>
        <w:pStyle w:val="56"/>
        <w:ind w:firstLine="420"/>
        <w:rPr>
          <w:kern w:val="2"/>
          <w:sz w:val="28"/>
        </w:rPr>
      </w:pPr>
      <w:bookmarkStart w:id="39" w:name="_Toc17233334"/>
      <w:bookmarkStart w:id="40" w:name="_Toc17233326"/>
      <w:bookmarkStart w:id="41" w:name="_Toc24884212"/>
      <w:bookmarkStart w:id="42" w:name="_Toc24884219"/>
      <w:bookmarkStart w:id="43" w:name="_Toc26648466"/>
      <w:r>
        <w:rPr>
          <w:rFonts w:hint="eastAsia"/>
        </w:rPr>
        <w:t>本文件规定了集装箱低轨卫星通讯终端（以下简称：卫星终端）构成</w:t>
      </w:r>
      <w:r>
        <w:rPr>
          <w:rFonts w:hint="eastAsia"/>
          <w:lang w:val="en-US" w:eastAsia="zh-CN"/>
        </w:rPr>
        <w:t>与分类</w:t>
      </w:r>
      <w:r>
        <w:rPr>
          <w:rFonts w:hint="eastAsia"/>
        </w:rPr>
        <w:t>、</w:t>
      </w:r>
      <w:r>
        <w:rPr>
          <w:rFonts w:hint="eastAsia"/>
          <w:lang w:eastAsia="zh-CN"/>
        </w:rPr>
        <w:t>技术</w:t>
      </w:r>
      <w:r>
        <w:rPr>
          <w:rFonts w:hint="eastAsia"/>
        </w:rPr>
        <w:t>要求、安全管理、标识和标记。</w:t>
      </w:r>
    </w:p>
    <w:p w14:paraId="3DEC003B">
      <w:pPr>
        <w:pStyle w:val="56"/>
        <w:ind w:firstLine="420"/>
      </w:pPr>
      <w:r>
        <w:rPr>
          <w:rFonts w:hint="eastAsia"/>
        </w:rPr>
        <w:t>本文件适用于集装箱低轨卫星通讯终端的设计、开发、生产、检验以及系统应用。</w:t>
      </w:r>
    </w:p>
    <w:p w14:paraId="21D1A5E3">
      <w:pPr>
        <w:pStyle w:val="104"/>
        <w:spacing w:before="240" w:after="240"/>
      </w:pPr>
      <w:bookmarkStart w:id="44" w:name="_Toc71955842"/>
      <w:bookmarkStart w:id="45" w:name="_Toc71953895"/>
      <w:bookmarkStart w:id="46" w:name="_Toc26986772"/>
      <w:bookmarkStart w:id="47" w:name="_Toc26986531"/>
      <w:bookmarkStart w:id="48" w:name="_Toc26718931"/>
      <w:bookmarkStart w:id="49" w:name="_Toc7195547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B9767229F6C84E1685B21100110C3E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D5AFC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08B9743">
      <w:pPr>
        <w:pStyle w:val="56"/>
        <w:ind w:firstLine="420"/>
      </w:pPr>
      <w:bookmarkStart w:id="50" w:name="_Hlk71953214"/>
      <w:r>
        <w:rPr>
          <w:rFonts w:hint="eastAsia"/>
        </w:rPr>
        <w:t>GB/T 15296</w:t>
      </w:r>
      <w:r>
        <w:t xml:space="preserve"> </w:t>
      </w:r>
      <w:r>
        <w:rPr>
          <w:rFonts w:hint="eastAsia"/>
        </w:rPr>
        <w:t xml:space="preserve">可搬移式卫星通信地球站设备通用技术条件 </w:t>
      </w:r>
    </w:p>
    <w:p w14:paraId="263697B2">
      <w:pPr>
        <w:pStyle w:val="56"/>
        <w:ind w:firstLine="420"/>
      </w:pPr>
      <w:r>
        <w:rPr>
          <w:rFonts w:hint="eastAsia"/>
        </w:rPr>
        <w:t xml:space="preserve">GB/T 2423.2 电工电子产品环境试验 第2部分：试验方法 试验 B： 高温 </w:t>
      </w:r>
    </w:p>
    <w:p w14:paraId="17663D8A">
      <w:pPr>
        <w:pStyle w:val="56"/>
        <w:ind w:firstLine="420"/>
      </w:pPr>
      <w:r>
        <w:rPr>
          <w:rFonts w:hint="eastAsia"/>
        </w:rPr>
        <w:t>GB/T 2423.1</w:t>
      </w:r>
      <w:r>
        <w:t xml:space="preserve"> </w:t>
      </w:r>
      <w:r>
        <w:rPr>
          <w:rFonts w:hint="eastAsia"/>
        </w:rPr>
        <w:t xml:space="preserve">电工电子产品环境试验 第2部分：试验方法 试验 A： 低温 </w:t>
      </w:r>
    </w:p>
    <w:p w14:paraId="4853A19D">
      <w:pPr>
        <w:pStyle w:val="56"/>
        <w:ind w:firstLine="420"/>
      </w:pPr>
      <w:r>
        <w:rPr>
          <w:rFonts w:hint="eastAsia"/>
        </w:rPr>
        <w:t>GB/T 2423.3</w:t>
      </w:r>
      <w:r>
        <w:t xml:space="preserve"> </w:t>
      </w:r>
      <w:r>
        <w:rPr>
          <w:rFonts w:hint="eastAsia"/>
        </w:rPr>
        <w:t>电工电子产品环境试验 第2部分：试验方法 试验 Cab：恒定湿热方法</w:t>
      </w:r>
    </w:p>
    <w:p w14:paraId="4B6BCCA4">
      <w:pPr>
        <w:pStyle w:val="56"/>
        <w:ind w:firstLine="420"/>
      </w:pPr>
      <w:r>
        <w:rPr>
          <w:rFonts w:hint="eastAsia"/>
        </w:rPr>
        <w:t>GB/T 2423.5</w:t>
      </w:r>
      <w:r>
        <w:t xml:space="preserve"> </w:t>
      </w:r>
      <w:r>
        <w:rPr>
          <w:rFonts w:hint="eastAsia"/>
        </w:rPr>
        <w:t>电工电子产品环境试验 第2部分：试验方法 试验 Ea和导则：冲击</w:t>
      </w:r>
    </w:p>
    <w:p w14:paraId="019689CC">
      <w:pPr>
        <w:pStyle w:val="56"/>
        <w:ind w:firstLine="420"/>
      </w:pPr>
      <w:r>
        <w:rPr>
          <w:rFonts w:hint="eastAsia"/>
        </w:rPr>
        <w:t>GB/T 2423.10</w:t>
      </w:r>
      <w:r>
        <w:t xml:space="preserve"> </w:t>
      </w:r>
      <w:r>
        <w:rPr>
          <w:rFonts w:hint="eastAsia"/>
        </w:rPr>
        <w:t>电工电子产品环境试验 第2部分：试验方法 试验 Fc：振动（正弦）</w:t>
      </w:r>
    </w:p>
    <w:p w14:paraId="0730FEE6">
      <w:pPr>
        <w:pStyle w:val="56"/>
        <w:ind w:firstLine="420"/>
      </w:pPr>
      <w:r>
        <w:rPr>
          <w:rFonts w:hint="eastAsia"/>
        </w:rPr>
        <w:t>GB/T 2423.17</w:t>
      </w:r>
      <w:r>
        <w:t xml:space="preserve"> </w:t>
      </w:r>
      <w:r>
        <w:rPr>
          <w:rFonts w:hint="eastAsia"/>
        </w:rPr>
        <w:t>电工电子产品环境试验 第2部分：试验方法 试验 Ka：盐雾</w:t>
      </w:r>
    </w:p>
    <w:bookmarkEnd w:id="50"/>
    <w:p w14:paraId="4126C326">
      <w:pPr>
        <w:pStyle w:val="104"/>
        <w:spacing w:before="240" w:after="240"/>
      </w:pPr>
      <w:bookmarkStart w:id="51" w:name="_Toc71955473"/>
      <w:bookmarkStart w:id="52" w:name="_Toc71953896"/>
      <w:bookmarkStart w:id="53" w:name="_Toc71955843"/>
      <w:r>
        <w:rPr>
          <w:rFonts w:hint="eastAsia"/>
          <w:szCs w:val="21"/>
        </w:rPr>
        <w:t>术语和定义</w:t>
      </w:r>
      <w:bookmarkEnd w:id="51"/>
      <w:bookmarkEnd w:id="52"/>
      <w:bookmarkEnd w:id="53"/>
    </w:p>
    <w:sdt>
      <w:sdtPr>
        <w:id w:val="-1909835108"/>
        <w:placeholder>
          <w:docPart w:val="6F2E817003B64D7A9724C8F932D8699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71969C4">
          <w:pPr>
            <w:pStyle w:val="56"/>
            <w:ind w:firstLine="420"/>
          </w:pPr>
          <w:bookmarkStart w:id="54" w:name="_Toc26986532"/>
          <w:bookmarkEnd w:id="54"/>
          <w:r>
            <w:t>GB/T 1992界定的以及下列术语和定义适用于本文件。</w:t>
          </w:r>
        </w:p>
      </w:sdtContent>
    </w:sdt>
    <w:p w14:paraId="74FB3953">
      <w:pPr>
        <w:pStyle w:val="56"/>
        <w:ind w:firstLine="420"/>
      </w:pPr>
    </w:p>
    <w:p w14:paraId="4FEA26E7">
      <w:pPr>
        <w:pStyle w:val="223"/>
        <w:ind w:left="420" w:hanging="560" w:hangingChars="200"/>
        <w:rPr>
          <w:rFonts w:ascii="黑体" w:hAnsi="黑体" w:eastAsia="黑体"/>
          <w:kern w:val="2"/>
          <w:sz w:val="28"/>
          <w:szCs w:val="22"/>
        </w:rPr>
      </w:pPr>
    </w:p>
    <w:p w14:paraId="7FEFA01F">
      <w:pPr>
        <w:pStyle w:val="223"/>
        <w:numPr>
          <w:numId w:val="0"/>
        </w:numPr>
        <w:ind w:leftChars="-200" w:firstLine="840" w:firstLineChars="400"/>
        <w:rPr>
          <w:rFonts w:ascii="黑体" w:hAnsi="黑体" w:eastAsia="黑体"/>
          <w:kern w:val="2"/>
          <w:sz w:val="28"/>
          <w:szCs w:val="22"/>
        </w:rPr>
      </w:pPr>
      <w:r>
        <w:rPr>
          <w:rFonts w:hint="eastAsia" w:ascii="黑体" w:hAnsi="黑体" w:eastAsia="黑体"/>
        </w:rPr>
        <w:t>集装箱低轨道卫星通讯终端  l</w:t>
      </w:r>
      <w:r>
        <w:rPr>
          <w:rFonts w:ascii="黑体" w:hAnsi="黑体" w:eastAsia="黑体"/>
        </w:rPr>
        <w:t>e</w:t>
      </w:r>
      <w:r>
        <w:rPr>
          <w:rFonts w:hint="eastAsia" w:ascii="黑体" w:hAnsi="黑体" w:eastAsia="黑体"/>
        </w:rPr>
        <w:t>o</w:t>
      </w:r>
      <w:r>
        <w:rPr>
          <w:rFonts w:ascii="黑体" w:hAnsi="黑体" w:eastAsia="黑体"/>
        </w:rPr>
        <w:t xml:space="preserve"> s</w:t>
      </w:r>
      <w:r>
        <w:rPr>
          <w:rFonts w:hint="eastAsia" w:ascii="黑体" w:hAnsi="黑体" w:eastAsia="黑体"/>
        </w:rPr>
        <w:t xml:space="preserve">atellite </w:t>
      </w:r>
      <w:r>
        <w:rPr>
          <w:rFonts w:ascii="黑体" w:hAnsi="黑体" w:eastAsia="黑体"/>
        </w:rPr>
        <w:t>c</w:t>
      </w:r>
      <w:r>
        <w:rPr>
          <w:rFonts w:hint="eastAsia" w:ascii="黑体" w:hAnsi="黑体" w:eastAsia="黑体"/>
        </w:rPr>
        <w:t xml:space="preserve">ommunication </w:t>
      </w:r>
      <w:r>
        <w:rPr>
          <w:rFonts w:ascii="黑体" w:hAnsi="黑体" w:eastAsia="黑体"/>
        </w:rPr>
        <w:t>d</w:t>
      </w:r>
      <w:r>
        <w:rPr>
          <w:rFonts w:hint="eastAsia" w:ascii="黑体" w:hAnsi="黑体" w:eastAsia="黑体"/>
        </w:rPr>
        <w:t>evice</w:t>
      </w:r>
      <w:r>
        <w:rPr>
          <w:rFonts w:ascii="黑体" w:hAnsi="黑体" w:eastAsia="黑体"/>
        </w:rPr>
        <w:t xml:space="preserve"> of container</w:t>
      </w:r>
    </w:p>
    <w:p w14:paraId="26DEC3AB">
      <w:pPr>
        <w:pStyle w:val="56"/>
        <w:ind w:firstLine="420"/>
      </w:pPr>
      <w:r>
        <w:rPr>
          <w:rFonts w:hint="eastAsia"/>
        </w:rPr>
        <w:t>与安装在集装箱上的传感器互联，通过卫星通信模组能够接入天基卫星通信网络系统，可进行集装箱自动识别、定位、状态监测、数据自动存储和传输，实现集装箱可视化管理的信息装置。</w:t>
      </w:r>
    </w:p>
    <w:p w14:paraId="4B053B15">
      <w:pPr>
        <w:pStyle w:val="56"/>
        <w:ind w:firstLine="420"/>
        <w:rPr>
          <w:rFonts w:hint="eastAsia"/>
        </w:rPr>
      </w:pPr>
    </w:p>
    <w:p w14:paraId="4B6B986A">
      <w:pPr>
        <w:pStyle w:val="223"/>
        <w:ind w:left="420" w:hanging="420" w:hangingChars="200"/>
        <w:rPr>
          <w:rFonts w:ascii="黑体" w:hAnsi="黑体" w:eastAsia="黑体"/>
          <w:szCs w:val="21"/>
        </w:rPr>
      </w:pPr>
      <w:bookmarkStart w:id="55" w:name="_Toc24030530"/>
      <w:bookmarkStart w:id="56" w:name="_Toc24029581"/>
    </w:p>
    <w:p w14:paraId="22B864CE">
      <w:pPr>
        <w:pStyle w:val="223"/>
        <w:numPr>
          <w:numId w:val="0"/>
        </w:numPr>
        <w:ind w:leftChars="-200" w:firstLine="840" w:firstLineChars="400"/>
        <w:rPr>
          <w:rFonts w:ascii="黑体" w:hAnsi="黑体" w:eastAsia="黑体"/>
          <w:szCs w:val="21"/>
        </w:rPr>
      </w:pPr>
      <w:r>
        <w:rPr>
          <w:rFonts w:hint="eastAsia" w:ascii="黑体" w:hAnsi="黑体" w:eastAsia="黑体"/>
        </w:rPr>
        <w:t>卫星通讯模组</w:t>
      </w:r>
      <w:r>
        <w:rPr>
          <w:rFonts w:ascii="黑体" w:hAnsi="黑体" w:eastAsia="黑体"/>
        </w:rPr>
        <w:t xml:space="preserve">  </w:t>
      </w:r>
      <w:r>
        <w:rPr>
          <w:rFonts w:hint="eastAsia" w:ascii="黑体" w:hAnsi="黑体" w:eastAsia="黑体"/>
        </w:rPr>
        <w:t>satellite communication module</w:t>
      </w:r>
      <w:bookmarkEnd w:id="55"/>
      <w:bookmarkEnd w:id="56"/>
    </w:p>
    <w:p w14:paraId="64D31D09">
      <w:pPr>
        <w:pStyle w:val="56"/>
        <w:ind w:firstLine="420"/>
      </w:pPr>
      <w:r>
        <w:rPr>
          <w:rFonts w:hint="eastAsia"/>
        </w:rPr>
        <w:t>应用于终端上，能够接入天基卫星通信网络，可以进行数据交互的信息技术产品。</w:t>
      </w:r>
    </w:p>
    <w:p w14:paraId="120DD417">
      <w:pPr>
        <w:pStyle w:val="104"/>
        <w:spacing w:before="240" w:after="240"/>
      </w:pPr>
      <w:bookmarkStart w:id="57" w:name="_Toc71955474"/>
      <w:bookmarkStart w:id="58" w:name="_Toc71955844"/>
      <w:r>
        <w:rPr>
          <w:rFonts w:hint="eastAsia"/>
        </w:rPr>
        <w:t>缩略语</w:t>
      </w:r>
      <w:bookmarkEnd w:id="57"/>
      <w:bookmarkEnd w:id="58"/>
    </w:p>
    <w:p w14:paraId="6FBE0ECF">
      <w:pPr>
        <w:pStyle w:val="56"/>
        <w:ind w:firstLine="420"/>
        <w:rPr>
          <w:kern w:val="2"/>
          <w:sz w:val="28"/>
          <w:szCs w:val="22"/>
        </w:rPr>
      </w:pPr>
      <w:r>
        <w:rPr>
          <w:rFonts w:hint="eastAsia"/>
        </w:rPr>
        <w:t>DCS：采集系统（Data Collection System）</w:t>
      </w:r>
    </w:p>
    <w:p w14:paraId="694B04FF">
      <w:pPr>
        <w:pStyle w:val="56"/>
        <w:ind w:firstLine="420"/>
      </w:pPr>
      <w:r>
        <w:rPr>
          <w:rFonts w:hint="eastAsia"/>
        </w:rPr>
        <w:t>SC-DCS：天基数据综合采集系统（Space-born Comprehensive Data Collection System）</w:t>
      </w:r>
    </w:p>
    <w:p w14:paraId="7E0B96C1">
      <w:pPr>
        <w:pStyle w:val="56"/>
        <w:ind w:firstLine="420"/>
      </w:pPr>
      <w:r>
        <w:rPr>
          <w:rFonts w:hint="eastAsia"/>
        </w:rPr>
        <w:t>CDMA：码分多址（Code Division Multiple Access）</w:t>
      </w:r>
    </w:p>
    <w:p w14:paraId="1DA36E70">
      <w:pPr>
        <w:pStyle w:val="56"/>
        <w:ind w:firstLine="420"/>
      </w:pPr>
      <w:r>
        <w:rPr>
          <w:rFonts w:hint="eastAsia"/>
        </w:rPr>
        <w:t>TDMA：时分多址（Time Division Multiple Access）</w:t>
      </w:r>
    </w:p>
    <w:p w14:paraId="21D09023">
      <w:pPr>
        <w:pStyle w:val="56"/>
        <w:ind w:firstLine="420"/>
      </w:pPr>
      <w:r>
        <w:rPr>
          <w:rFonts w:hint="eastAsia"/>
        </w:rPr>
        <w:t>FDMA：频分多址（Frequency Division Multiple Access）</w:t>
      </w:r>
    </w:p>
    <w:p w14:paraId="59365333">
      <w:pPr>
        <w:pStyle w:val="56"/>
        <w:ind w:firstLine="420"/>
      </w:pPr>
      <w:r>
        <w:rPr>
          <w:rFonts w:hint="eastAsia"/>
        </w:rPr>
        <w:t>SDMA：空分多址（Space Division Multiple Access）</w:t>
      </w:r>
    </w:p>
    <w:p w14:paraId="1422A61E">
      <w:pPr>
        <w:pStyle w:val="56"/>
        <w:ind w:firstLine="420"/>
      </w:pPr>
      <w:r>
        <w:rPr>
          <w:rFonts w:hint="eastAsia"/>
        </w:rPr>
        <w:t>MAC：介质访问控制子层协议（Media Access Control）</w:t>
      </w:r>
    </w:p>
    <w:p w14:paraId="104B9788">
      <w:pPr>
        <w:pStyle w:val="56"/>
        <w:ind w:firstLine="420"/>
      </w:pPr>
      <w:r>
        <w:rPr>
          <w:rFonts w:hint="eastAsia"/>
        </w:rPr>
        <w:t>BPSK：二进制相移键控（Binary Phase Shift Keying）</w:t>
      </w:r>
    </w:p>
    <w:p w14:paraId="3F00EC96">
      <w:pPr>
        <w:pStyle w:val="56"/>
        <w:ind w:firstLine="420"/>
      </w:pPr>
      <w:r>
        <w:rPr>
          <w:rFonts w:hint="eastAsia"/>
        </w:rPr>
        <w:t>CCSDS：国际空间数据系统咨询委员会（Consultative Committee for Space Data System）</w:t>
      </w:r>
    </w:p>
    <w:p w14:paraId="21810877">
      <w:pPr>
        <w:pStyle w:val="56"/>
        <w:ind w:firstLine="420"/>
      </w:pPr>
      <w:r>
        <w:rPr>
          <w:rFonts w:hint="eastAsia"/>
        </w:rPr>
        <w:t>PCM：脉冲编码调制（Pulse Code Modulation）</w:t>
      </w:r>
    </w:p>
    <w:p w14:paraId="1B1544F9">
      <w:pPr>
        <w:pStyle w:val="56"/>
        <w:ind w:firstLine="420"/>
      </w:pPr>
    </w:p>
    <w:p w14:paraId="07F6C9D6">
      <w:pPr>
        <w:pStyle w:val="56"/>
        <w:ind w:firstLine="420"/>
      </w:pPr>
    </w:p>
    <w:p w14:paraId="4BAC6FC4">
      <w:pPr>
        <w:pStyle w:val="104"/>
        <w:spacing w:before="240" w:after="240"/>
      </w:pPr>
      <w:r>
        <w:rPr>
          <w:rFonts w:hint="eastAsia"/>
          <w:lang w:val="en-US" w:eastAsia="zh-CN"/>
        </w:rPr>
        <w:t>构成与分类</w:t>
      </w:r>
    </w:p>
    <w:p w14:paraId="1C1D7AD4">
      <w:pPr>
        <w:pStyle w:val="105"/>
        <w:spacing w:before="120" w:after="120"/>
        <w:rPr>
          <w:rFonts w:hint="eastAsia"/>
          <w:lang w:val="en-US" w:eastAsia="zh-CN"/>
        </w:rPr>
      </w:pPr>
      <w:r>
        <w:rPr>
          <w:rFonts w:hint="eastAsia"/>
          <w:lang w:val="en-US" w:eastAsia="zh-CN"/>
        </w:rPr>
        <w:t>构成</w:t>
      </w:r>
    </w:p>
    <w:p w14:paraId="47BE16DC">
      <w:pPr>
        <w:pStyle w:val="56"/>
        <w:ind w:firstLine="420"/>
        <w:rPr>
          <w:rFonts w:hint="default" w:eastAsia="宋体"/>
          <w:lang w:val="en-US" w:eastAsia="zh-CN"/>
        </w:rPr>
      </w:pPr>
      <w:r>
        <w:rPr>
          <w:rFonts w:hint="eastAsia"/>
        </w:rPr>
        <w:t>卫星终端由卫星通讯模组和传感器组成。卫星通信模组由天线、射频模块、基带模块、存储模块、控制模块、接口模块等一体化设计成型。</w:t>
      </w:r>
      <w:r>
        <w:rPr>
          <w:rFonts w:hint="eastAsia"/>
          <w:lang w:eastAsia="zh-CN"/>
        </w:rPr>
        <w:t>根据应用场景选择集成温湿度、加速度等传感器。</w:t>
      </w:r>
      <w:r>
        <w:rPr>
          <w:rFonts w:hint="eastAsia"/>
          <w:lang w:val="en-US" w:eastAsia="zh-CN"/>
        </w:rPr>
        <w:t>卫星终端通过协议接入低轨道卫星网络。</w:t>
      </w:r>
      <w:r>
        <w:rPr>
          <w:rFonts w:hint="eastAsia"/>
          <w:lang w:eastAsia="zh-CN"/>
        </w:rPr>
        <w:t>卫星</w:t>
      </w:r>
      <w:r>
        <w:rPr>
          <w:rFonts w:hint="eastAsia"/>
        </w:rPr>
        <w:t>终端架构示意见图</w:t>
      </w:r>
      <w:r>
        <w:t>1</w:t>
      </w:r>
      <w:r>
        <w:rPr>
          <w:rFonts w:hint="eastAsia"/>
          <w:lang w:eastAsia="zh-CN"/>
        </w:rPr>
        <w:t>，</w:t>
      </w:r>
      <w:r>
        <w:rPr>
          <w:rFonts w:hint="eastAsia"/>
          <w:lang w:val="en-US" w:eastAsia="zh-CN"/>
        </w:rPr>
        <w:t>接入低轨道卫星网络示意见图2</w:t>
      </w:r>
      <w:r>
        <w:rPr>
          <w:rFonts w:hint="eastAsia"/>
        </w:rPr>
        <w:t>。</w:t>
      </w:r>
    </w:p>
    <w:p w14:paraId="627FDD9F">
      <w:pPr>
        <w:pStyle w:val="56"/>
        <w:ind w:firstLine="420"/>
        <w:jc w:val="center"/>
      </w:pPr>
      <w:r>
        <w:drawing>
          <wp:inline distT="0" distB="0" distL="0" distR="0">
            <wp:extent cx="4133850" cy="19177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134062" cy="1917799"/>
                    </a:xfrm>
                    <a:prstGeom prst="rect">
                      <a:avLst/>
                    </a:prstGeom>
                  </pic:spPr>
                </pic:pic>
              </a:graphicData>
            </a:graphic>
          </wp:inline>
        </w:drawing>
      </w:r>
    </w:p>
    <w:p w14:paraId="5E660596">
      <w:pPr>
        <w:pStyle w:val="114"/>
        <w:spacing w:before="120" w:after="120"/>
        <w:ind w:firstLine="420"/>
      </w:pPr>
      <w:r>
        <w:rPr>
          <w:rFonts w:hint="eastAsia"/>
          <w:lang w:val="en-US" w:eastAsia="zh-CN"/>
        </w:rPr>
        <w:t>卫星</w:t>
      </w:r>
      <w:r>
        <w:rPr>
          <w:rFonts w:hint="eastAsia"/>
        </w:rPr>
        <w:t>终端构成示意图</w:t>
      </w:r>
    </w:p>
    <w:p w14:paraId="0557C426">
      <w:pPr>
        <w:pStyle w:val="56"/>
      </w:pPr>
    </w:p>
    <w:p w14:paraId="59BFB725">
      <w:pPr>
        <w:pStyle w:val="56"/>
      </w:pPr>
      <w:r>
        <w:drawing>
          <wp:inline distT="0" distB="0" distL="114300" distR="114300">
            <wp:extent cx="5109210" cy="2945765"/>
            <wp:effectExtent l="0" t="0" r="8890"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5109210" cy="2945765"/>
                    </a:xfrm>
                    <a:prstGeom prst="rect">
                      <a:avLst/>
                    </a:prstGeom>
                    <a:noFill/>
                    <a:ln>
                      <a:noFill/>
                    </a:ln>
                  </pic:spPr>
                </pic:pic>
              </a:graphicData>
            </a:graphic>
          </wp:inline>
        </w:drawing>
      </w:r>
    </w:p>
    <w:p w14:paraId="73A8710E">
      <w:pPr>
        <w:pStyle w:val="56"/>
      </w:pPr>
    </w:p>
    <w:p w14:paraId="6AECBEE5">
      <w:pPr>
        <w:pStyle w:val="114"/>
        <w:spacing w:before="120" w:after="120"/>
        <w:ind w:firstLine="420"/>
        <w:rPr>
          <w:rFonts w:hint="default"/>
          <w:lang w:val="en-US"/>
        </w:rPr>
      </w:pPr>
      <w:r>
        <w:rPr>
          <w:rFonts w:hint="eastAsia"/>
          <w:lang w:val="en-US" w:eastAsia="zh-CN"/>
        </w:rPr>
        <w:t>卫星终端接入低轨道卫星网络示意图</w:t>
      </w:r>
    </w:p>
    <w:p w14:paraId="3B0B7B1E">
      <w:pPr>
        <w:pStyle w:val="105"/>
        <w:spacing w:before="120" w:after="120"/>
        <w:rPr>
          <w:rFonts w:hint="eastAsia"/>
          <w:lang w:val="en-US" w:eastAsia="zh-CN"/>
        </w:rPr>
      </w:pPr>
      <w:bookmarkStart w:id="59" w:name="_Toc71955476"/>
      <w:bookmarkStart w:id="60" w:name="_Toc71955846"/>
      <w:r>
        <w:rPr>
          <w:rFonts w:hint="eastAsia"/>
          <w:lang w:val="en-US" w:eastAsia="zh-CN"/>
        </w:rPr>
        <w:t>分类</w:t>
      </w:r>
    </w:p>
    <w:p w14:paraId="62A0F282">
      <w:pPr>
        <w:pStyle w:val="56"/>
        <w:rPr>
          <w:rFonts w:hint="eastAsia"/>
          <w:lang w:val="en-US" w:eastAsia="zh-CN"/>
        </w:rPr>
      </w:pPr>
      <w:r>
        <w:rPr>
          <w:rFonts w:hint="eastAsia"/>
          <w:lang w:val="en-US" w:eastAsia="zh-CN"/>
        </w:rPr>
        <w:t>根据卫星终端功能和安装位置不同，卫星终端分为通用集装箱卫星终端、保温集装箱卫星终端、罐式集装箱卫星终端、无压干散货集装箱卫星终端、台架集装箱卫星终端。卫星终端主分类及功能要求见表1。</w:t>
      </w:r>
    </w:p>
    <w:p w14:paraId="6CFDBA2F">
      <w:pPr>
        <w:pStyle w:val="56"/>
        <w:rPr>
          <w:rFonts w:hint="eastAsia"/>
          <w:lang w:val="en-US" w:eastAsia="zh-CN"/>
        </w:rPr>
      </w:pPr>
    </w:p>
    <w:p w14:paraId="69A9CC5B">
      <w:pPr>
        <w:pStyle w:val="56"/>
        <w:rPr>
          <w:rFonts w:hint="eastAsia"/>
          <w:lang w:val="en-US" w:eastAsia="zh-CN"/>
        </w:rPr>
      </w:pPr>
    </w:p>
    <w:p w14:paraId="30EB7F0C">
      <w:pPr>
        <w:pStyle w:val="56"/>
        <w:rPr>
          <w:rFonts w:hint="eastAsia"/>
          <w:lang w:val="en-US" w:eastAsia="zh-CN"/>
        </w:rPr>
      </w:pPr>
    </w:p>
    <w:p w14:paraId="59107CB9">
      <w:pPr>
        <w:pStyle w:val="56"/>
        <w:rPr>
          <w:rFonts w:hint="eastAsia"/>
          <w:lang w:val="en-US" w:eastAsia="zh-CN"/>
        </w:rPr>
      </w:pPr>
    </w:p>
    <w:p w14:paraId="47823E81">
      <w:pPr>
        <w:pStyle w:val="56"/>
        <w:rPr>
          <w:rFonts w:hint="eastAsia"/>
          <w:lang w:val="en-US" w:eastAsia="zh-CN"/>
        </w:rPr>
      </w:pPr>
    </w:p>
    <w:p w14:paraId="00B05FEF">
      <w:pPr>
        <w:pStyle w:val="56"/>
        <w:jc w:val="center"/>
        <w:rPr>
          <w:rFonts w:hint="default" w:eastAsia="宋体"/>
          <w:lang w:val="en-US" w:eastAsia="zh-CN"/>
        </w:rPr>
      </w:pPr>
      <w:r>
        <w:rPr>
          <w:rFonts w:hint="eastAsia"/>
          <w:lang w:val="en-US" w:eastAsia="zh-CN"/>
        </w:rPr>
        <w:t>表1：</w:t>
      </w:r>
      <w:r>
        <w:rPr>
          <w:rFonts w:hint="eastAsia"/>
        </w:rPr>
        <w:t>集装箱低轨卫星通讯终端</w:t>
      </w:r>
      <w:r>
        <w:rPr>
          <w:rFonts w:hint="eastAsia"/>
          <w:lang w:val="en-US" w:eastAsia="zh-CN"/>
        </w:rPr>
        <w:t>功能与分类表</w:t>
      </w:r>
    </w:p>
    <w:p w14:paraId="23C86AEB">
      <w:pPr>
        <w:pStyle w:val="56"/>
        <w:rPr>
          <w:rFonts w:hint="eastAsia"/>
          <w:lang w:val="en-US" w:eastAsia="zh-CN"/>
        </w:rPr>
      </w:pPr>
    </w:p>
    <w:tbl>
      <w:tblPr>
        <w:tblStyle w:val="27"/>
        <w:tblW w:w="9280"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0"/>
        <w:gridCol w:w="2860"/>
        <w:gridCol w:w="1320"/>
        <w:gridCol w:w="2290"/>
      </w:tblGrid>
      <w:tr w14:paraId="0669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0" w:type="dxa"/>
            <w:vAlign w:val="top"/>
          </w:tcPr>
          <w:p w14:paraId="41C63B09">
            <w:pPr>
              <w:pStyle w:val="56"/>
              <w:ind w:left="0" w:leftChars="0" w:firstLine="0" w:firstLineChars="0"/>
              <w:jc w:val="center"/>
              <w:rPr>
                <w:rFonts w:hint="eastAsia"/>
                <w:b/>
                <w:bCs/>
                <w:vertAlign w:val="baseline"/>
                <w:lang w:val="en-US" w:eastAsia="zh-CN"/>
              </w:rPr>
            </w:pPr>
            <w:r>
              <w:rPr>
                <w:rFonts w:hint="eastAsia"/>
                <w:b/>
                <w:bCs/>
                <w:vertAlign w:val="baseline"/>
                <w:lang w:val="en-US" w:eastAsia="zh-CN"/>
              </w:rPr>
              <w:t>类型</w:t>
            </w:r>
          </w:p>
        </w:tc>
        <w:tc>
          <w:tcPr>
            <w:tcW w:w="2860" w:type="dxa"/>
          </w:tcPr>
          <w:p w14:paraId="41DBC4F1">
            <w:pPr>
              <w:pStyle w:val="56"/>
              <w:rPr>
                <w:rFonts w:hint="default"/>
                <w:b/>
                <w:bCs/>
                <w:vertAlign w:val="baseline"/>
                <w:lang w:val="en-US" w:eastAsia="zh-CN"/>
              </w:rPr>
            </w:pPr>
            <w:r>
              <w:rPr>
                <w:rFonts w:hint="eastAsia"/>
                <w:b/>
                <w:bCs/>
                <w:vertAlign w:val="baseline"/>
                <w:lang w:val="en-US" w:eastAsia="zh-CN"/>
              </w:rPr>
              <w:t>主要功能</w:t>
            </w:r>
          </w:p>
        </w:tc>
        <w:tc>
          <w:tcPr>
            <w:tcW w:w="1320" w:type="dxa"/>
            <w:vAlign w:val="top"/>
          </w:tcPr>
          <w:p w14:paraId="67B6DD96">
            <w:pPr>
              <w:pStyle w:val="56"/>
              <w:ind w:left="0" w:leftChars="0" w:firstLine="0" w:firstLineChars="0"/>
              <w:jc w:val="center"/>
              <w:rPr>
                <w:rFonts w:hint="eastAsia"/>
                <w:b/>
                <w:bCs/>
                <w:vertAlign w:val="baseline"/>
                <w:lang w:val="en-US" w:eastAsia="zh-CN"/>
              </w:rPr>
            </w:pPr>
            <w:r>
              <w:rPr>
                <w:rFonts w:hint="eastAsia"/>
                <w:b/>
                <w:bCs/>
                <w:vertAlign w:val="baseline"/>
                <w:lang w:val="en-US" w:eastAsia="zh-CN"/>
              </w:rPr>
              <w:t>安装位置</w:t>
            </w:r>
          </w:p>
        </w:tc>
        <w:tc>
          <w:tcPr>
            <w:tcW w:w="2290" w:type="dxa"/>
          </w:tcPr>
          <w:p w14:paraId="0C05CFDA">
            <w:pPr>
              <w:pStyle w:val="56"/>
              <w:rPr>
                <w:rFonts w:hint="default"/>
                <w:b/>
                <w:bCs/>
                <w:vertAlign w:val="baseline"/>
                <w:lang w:val="en-US" w:eastAsia="zh-CN"/>
              </w:rPr>
            </w:pPr>
            <w:r>
              <w:rPr>
                <w:rFonts w:hint="eastAsia"/>
                <w:b/>
                <w:bCs/>
                <w:vertAlign w:val="baseline"/>
                <w:lang w:val="en-US" w:eastAsia="zh-CN"/>
              </w:rPr>
              <w:t>说明</w:t>
            </w:r>
          </w:p>
        </w:tc>
      </w:tr>
      <w:tr w14:paraId="377A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0" w:type="dxa"/>
            <w:vAlign w:val="top"/>
          </w:tcPr>
          <w:p w14:paraId="5E14DCFA">
            <w:pPr>
              <w:pStyle w:val="56"/>
              <w:ind w:left="0" w:leftChars="0" w:firstLine="0" w:firstLineChars="0"/>
              <w:jc w:val="center"/>
              <w:rPr>
                <w:rFonts w:hint="eastAsia"/>
                <w:vertAlign w:val="baseline"/>
                <w:lang w:val="en-US" w:eastAsia="zh-CN"/>
              </w:rPr>
            </w:pPr>
            <w:r>
              <w:rPr>
                <w:rFonts w:hint="eastAsia"/>
                <w:lang w:val="en-US" w:eastAsia="zh-CN"/>
              </w:rPr>
              <w:t>通用集装箱卫星终端</w:t>
            </w:r>
          </w:p>
        </w:tc>
        <w:tc>
          <w:tcPr>
            <w:tcW w:w="2860" w:type="dxa"/>
          </w:tcPr>
          <w:p w14:paraId="0DDFA92F">
            <w:pPr>
              <w:pStyle w:val="56"/>
              <w:ind w:left="0" w:leftChars="0" w:firstLine="0" w:firstLineChars="0"/>
              <w:rPr>
                <w:rFonts w:hint="default"/>
                <w:vertAlign w:val="baseline"/>
                <w:lang w:val="en-US" w:eastAsia="zh-CN"/>
              </w:rPr>
            </w:pPr>
            <w:r>
              <w:rPr>
                <w:rFonts w:hint="eastAsia"/>
                <w:vertAlign w:val="baseline"/>
                <w:lang w:val="en-US" w:eastAsia="zh-CN"/>
              </w:rPr>
              <w:t>卫星通讯、定位</w:t>
            </w:r>
          </w:p>
        </w:tc>
        <w:tc>
          <w:tcPr>
            <w:tcW w:w="1320" w:type="dxa"/>
            <w:vAlign w:val="top"/>
          </w:tcPr>
          <w:p w14:paraId="7906AE00">
            <w:pPr>
              <w:pStyle w:val="56"/>
              <w:ind w:left="0" w:leftChars="0" w:firstLine="0" w:firstLineChars="0"/>
              <w:jc w:val="center"/>
              <w:rPr>
                <w:rFonts w:hint="default"/>
                <w:vertAlign w:val="baseline"/>
                <w:lang w:val="en-US" w:eastAsia="zh-CN"/>
              </w:rPr>
            </w:pPr>
            <w:r>
              <w:rPr>
                <w:rFonts w:hint="eastAsia"/>
                <w:vertAlign w:val="baseline"/>
                <w:lang w:val="en-US" w:eastAsia="zh-CN"/>
              </w:rPr>
              <w:t>通风罩</w:t>
            </w:r>
          </w:p>
        </w:tc>
        <w:tc>
          <w:tcPr>
            <w:tcW w:w="2290" w:type="dxa"/>
          </w:tcPr>
          <w:p w14:paraId="4EE70595">
            <w:pPr>
              <w:pStyle w:val="56"/>
              <w:ind w:left="0" w:leftChars="0" w:firstLine="0" w:firstLineChars="0"/>
              <w:rPr>
                <w:rFonts w:hint="default"/>
                <w:vertAlign w:val="baseline"/>
                <w:lang w:val="en-US" w:eastAsia="zh-CN"/>
              </w:rPr>
            </w:pPr>
            <w:r>
              <w:rPr>
                <w:rFonts w:hint="eastAsia"/>
                <w:vertAlign w:val="baseline"/>
                <w:lang w:val="en-US" w:eastAsia="zh-CN"/>
              </w:rPr>
              <w:t>通常与集装箱电子标签集成。</w:t>
            </w:r>
          </w:p>
        </w:tc>
      </w:tr>
      <w:tr w14:paraId="71E0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0" w:type="dxa"/>
            <w:vAlign w:val="top"/>
          </w:tcPr>
          <w:p w14:paraId="16FE699F">
            <w:pPr>
              <w:pStyle w:val="56"/>
              <w:ind w:left="0" w:leftChars="0" w:firstLine="0" w:firstLineChars="0"/>
              <w:jc w:val="center"/>
              <w:rPr>
                <w:rFonts w:hint="eastAsia"/>
                <w:lang w:val="en-US" w:eastAsia="zh-CN"/>
              </w:rPr>
            </w:pPr>
            <w:r>
              <w:rPr>
                <w:rFonts w:hint="eastAsia"/>
                <w:lang w:val="en-US" w:eastAsia="zh-CN"/>
              </w:rPr>
              <w:t>保温集装箱卫星终端</w:t>
            </w:r>
          </w:p>
        </w:tc>
        <w:tc>
          <w:tcPr>
            <w:tcW w:w="2860" w:type="dxa"/>
          </w:tcPr>
          <w:p w14:paraId="15A81F19">
            <w:pPr>
              <w:pStyle w:val="56"/>
              <w:ind w:left="0" w:leftChars="0" w:firstLine="0" w:firstLineChars="0"/>
              <w:rPr>
                <w:rFonts w:hint="default"/>
                <w:vertAlign w:val="baseline"/>
                <w:lang w:val="en-US" w:eastAsia="zh-CN"/>
              </w:rPr>
            </w:pPr>
            <w:r>
              <w:rPr>
                <w:rFonts w:hint="eastAsia"/>
                <w:vertAlign w:val="baseline"/>
                <w:lang w:val="en-US" w:eastAsia="zh-CN"/>
              </w:rPr>
              <w:t>卫星通讯、定位、温湿度监测</w:t>
            </w:r>
          </w:p>
        </w:tc>
        <w:tc>
          <w:tcPr>
            <w:tcW w:w="1320" w:type="dxa"/>
            <w:vAlign w:val="top"/>
          </w:tcPr>
          <w:p w14:paraId="6AB8F552">
            <w:pPr>
              <w:pStyle w:val="56"/>
              <w:ind w:left="0" w:leftChars="0" w:firstLine="0" w:firstLineChars="0"/>
              <w:jc w:val="center"/>
              <w:rPr>
                <w:rFonts w:hint="default"/>
                <w:vertAlign w:val="baseline"/>
                <w:lang w:val="en-US" w:eastAsia="zh-CN"/>
              </w:rPr>
            </w:pPr>
            <w:r>
              <w:rPr>
                <w:rFonts w:hint="eastAsia"/>
                <w:vertAlign w:val="baseline"/>
                <w:lang w:val="en-US" w:eastAsia="zh-CN"/>
              </w:rPr>
              <w:t>冷机框架内</w:t>
            </w:r>
          </w:p>
        </w:tc>
        <w:tc>
          <w:tcPr>
            <w:tcW w:w="2290" w:type="dxa"/>
          </w:tcPr>
          <w:p w14:paraId="6AB400F0">
            <w:pPr>
              <w:pStyle w:val="56"/>
              <w:ind w:left="0" w:leftChars="0" w:firstLine="0" w:firstLineChars="0"/>
              <w:rPr>
                <w:rFonts w:hint="default"/>
                <w:vertAlign w:val="baseline"/>
                <w:lang w:val="en-US" w:eastAsia="zh-CN"/>
              </w:rPr>
            </w:pPr>
            <w:r>
              <w:rPr>
                <w:rFonts w:hint="eastAsia"/>
                <w:vertAlign w:val="baseline"/>
                <w:lang w:val="en-US" w:eastAsia="zh-CN"/>
              </w:rPr>
              <w:t>通常与冷藏集装箱监控终端集成。</w:t>
            </w:r>
          </w:p>
        </w:tc>
      </w:tr>
      <w:tr w14:paraId="07C9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2810" w:type="dxa"/>
            <w:vAlign w:val="top"/>
          </w:tcPr>
          <w:p w14:paraId="6C4581EF">
            <w:pPr>
              <w:pStyle w:val="56"/>
              <w:ind w:left="0" w:leftChars="0" w:firstLine="0" w:firstLineChars="0"/>
              <w:jc w:val="center"/>
              <w:rPr>
                <w:rFonts w:hint="eastAsia"/>
                <w:lang w:val="en-US" w:eastAsia="zh-CN"/>
              </w:rPr>
            </w:pPr>
            <w:r>
              <w:rPr>
                <w:rFonts w:hint="eastAsia"/>
                <w:lang w:val="en-US" w:eastAsia="zh-CN"/>
              </w:rPr>
              <w:t>罐式集装箱卫星终端</w:t>
            </w:r>
          </w:p>
        </w:tc>
        <w:tc>
          <w:tcPr>
            <w:tcW w:w="2860" w:type="dxa"/>
          </w:tcPr>
          <w:p w14:paraId="372F5F07">
            <w:pPr>
              <w:pStyle w:val="56"/>
              <w:ind w:left="0" w:leftChars="0" w:firstLine="0" w:firstLineChars="0"/>
              <w:rPr>
                <w:rFonts w:hint="default"/>
                <w:vertAlign w:val="baseline"/>
                <w:lang w:val="en-US" w:eastAsia="zh-CN"/>
              </w:rPr>
            </w:pPr>
            <w:r>
              <w:rPr>
                <w:rFonts w:hint="eastAsia"/>
                <w:vertAlign w:val="baseline"/>
                <w:lang w:val="en-US" w:eastAsia="zh-CN"/>
              </w:rPr>
              <w:t>卫星通讯、定位、温度和液位监测</w:t>
            </w:r>
          </w:p>
        </w:tc>
        <w:tc>
          <w:tcPr>
            <w:tcW w:w="1320" w:type="dxa"/>
            <w:vAlign w:val="top"/>
          </w:tcPr>
          <w:p w14:paraId="421C695E">
            <w:pPr>
              <w:pStyle w:val="56"/>
              <w:ind w:left="0" w:leftChars="0" w:firstLine="0" w:firstLineChars="0"/>
              <w:jc w:val="center"/>
              <w:rPr>
                <w:rFonts w:hint="default"/>
                <w:vertAlign w:val="baseline"/>
                <w:lang w:val="en-US" w:eastAsia="zh-CN"/>
              </w:rPr>
            </w:pPr>
            <w:r>
              <w:rPr>
                <w:rFonts w:hint="eastAsia"/>
                <w:vertAlign w:val="baseline"/>
                <w:lang w:val="en-US" w:eastAsia="zh-CN"/>
              </w:rPr>
              <w:t>罐箱框架内</w:t>
            </w:r>
          </w:p>
        </w:tc>
        <w:tc>
          <w:tcPr>
            <w:tcW w:w="2290" w:type="dxa"/>
          </w:tcPr>
          <w:p w14:paraId="7ECAC88E">
            <w:pPr>
              <w:pStyle w:val="56"/>
              <w:ind w:left="0" w:leftChars="0" w:firstLine="0" w:firstLineChars="0"/>
              <w:rPr>
                <w:rFonts w:hint="default"/>
                <w:vertAlign w:val="baseline"/>
                <w:lang w:val="en-US" w:eastAsia="zh-CN"/>
              </w:rPr>
            </w:pPr>
            <w:r>
              <w:rPr>
                <w:rFonts w:hint="eastAsia"/>
                <w:vertAlign w:val="baseline"/>
                <w:lang w:val="en-US" w:eastAsia="zh-CN"/>
              </w:rPr>
              <w:t>通常与罐式集装箱监控终端集成。</w:t>
            </w:r>
          </w:p>
        </w:tc>
      </w:tr>
      <w:tr w14:paraId="7B75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0" w:type="dxa"/>
            <w:vAlign w:val="top"/>
          </w:tcPr>
          <w:p w14:paraId="69BE054C">
            <w:pPr>
              <w:pStyle w:val="56"/>
              <w:ind w:left="0" w:leftChars="0" w:firstLine="0" w:firstLineChars="0"/>
              <w:jc w:val="center"/>
              <w:rPr>
                <w:rFonts w:hint="eastAsia"/>
                <w:lang w:val="en-US" w:eastAsia="zh-CN"/>
              </w:rPr>
            </w:pPr>
            <w:r>
              <w:rPr>
                <w:rFonts w:hint="eastAsia"/>
                <w:lang w:val="en-US" w:eastAsia="zh-CN"/>
              </w:rPr>
              <w:t>无压干散货集装箱卫星终端</w:t>
            </w:r>
          </w:p>
        </w:tc>
        <w:tc>
          <w:tcPr>
            <w:tcW w:w="2860" w:type="dxa"/>
            <w:vAlign w:val="top"/>
          </w:tcPr>
          <w:p w14:paraId="2C88A693">
            <w:pPr>
              <w:pStyle w:val="56"/>
              <w:ind w:left="0" w:leftChars="0" w:firstLine="0" w:firstLineChars="0"/>
              <w:jc w:val="both"/>
              <w:rPr>
                <w:rFonts w:hint="eastAsia"/>
                <w:vertAlign w:val="baseline"/>
                <w:lang w:val="en-US" w:eastAsia="zh-CN"/>
              </w:rPr>
            </w:pPr>
            <w:r>
              <w:rPr>
                <w:rFonts w:hint="eastAsia"/>
                <w:vertAlign w:val="baseline"/>
                <w:lang w:val="en-US" w:eastAsia="zh-CN"/>
              </w:rPr>
              <w:t>卫星通讯、定位</w:t>
            </w:r>
          </w:p>
        </w:tc>
        <w:tc>
          <w:tcPr>
            <w:tcW w:w="1320" w:type="dxa"/>
            <w:vAlign w:val="top"/>
          </w:tcPr>
          <w:p w14:paraId="1F7B2F54">
            <w:pPr>
              <w:pStyle w:val="56"/>
              <w:ind w:left="0" w:leftChars="0" w:firstLine="0" w:firstLineChars="0"/>
              <w:jc w:val="center"/>
              <w:rPr>
                <w:rFonts w:hint="eastAsia"/>
                <w:vertAlign w:val="baseline"/>
                <w:lang w:val="en-US" w:eastAsia="zh-CN"/>
              </w:rPr>
            </w:pPr>
            <w:r>
              <w:rPr>
                <w:rFonts w:hint="eastAsia"/>
                <w:vertAlign w:val="baseline"/>
                <w:lang w:val="en-US" w:eastAsia="zh-CN"/>
              </w:rPr>
              <w:t>通风罩</w:t>
            </w:r>
          </w:p>
        </w:tc>
        <w:tc>
          <w:tcPr>
            <w:tcW w:w="2290" w:type="dxa"/>
          </w:tcPr>
          <w:p w14:paraId="3DDBE363">
            <w:pPr>
              <w:pStyle w:val="56"/>
              <w:ind w:left="0" w:leftChars="0" w:firstLine="0" w:firstLineChars="0"/>
              <w:rPr>
                <w:rFonts w:hint="eastAsia"/>
                <w:vertAlign w:val="baseline"/>
                <w:lang w:val="en-US" w:eastAsia="zh-CN"/>
              </w:rPr>
            </w:pPr>
            <w:r>
              <w:rPr>
                <w:rFonts w:hint="eastAsia"/>
                <w:vertAlign w:val="baseline"/>
                <w:lang w:val="en-US" w:eastAsia="zh-CN"/>
              </w:rPr>
              <w:t>通常与集装箱电子标签集成。</w:t>
            </w:r>
          </w:p>
        </w:tc>
      </w:tr>
      <w:tr w14:paraId="3116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10" w:type="dxa"/>
            <w:vAlign w:val="top"/>
          </w:tcPr>
          <w:p w14:paraId="0A840FA3">
            <w:pPr>
              <w:pStyle w:val="56"/>
              <w:ind w:left="0" w:leftChars="0" w:firstLine="0" w:firstLineChars="0"/>
              <w:jc w:val="center"/>
              <w:rPr>
                <w:rFonts w:hint="eastAsia"/>
                <w:lang w:val="en-US" w:eastAsia="zh-CN"/>
              </w:rPr>
            </w:pPr>
            <w:r>
              <w:rPr>
                <w:rFonts w:hint="eastAsia"/>
                <w:lang w:val="en-US" w:eastAsia="zh-CN"/>
              </w:rPr>
              <w:t>台架集装箱卫星终端</w:t>
            </w:r>
          </w:p>
        </w:tc>
        <w:tc>
          <w:tcPr>
            <w:tcW w:w="2860" w:type="dxa"/>
          </w:tcPr>
          <w:p w14:paraId="4640A2A5">
            <w:pPr>
              <w:pStyle w:val="56"/>
              <w:ind w:left="0" w:leftChars="0" w:firstLine="0" w:firstLineChars="0"/>
              <w:rPr>
                <w:rFonts w:hint="eastAsia"/>
                <w:vertAlign w:val="baseline"/>
                <w:lang w:val="en-US" w:eastAsia="zh-CN"/>
              </w:rPr>
            </w:pPr>
            <w:r>
              <w:rPr>
                <w:rFonts w:hint="eastAsia"/>
                <w:vertAlign w:val="baseline"/>
                <w:lang w:val="en-US" w:eastAsia="zh-CN"/>
              </w:rPr>
              <w:t>卫星通讯、定位</w:t>
            </w:r>
          </w:p>
        </w:tc>
        <w:tc>
          <w:tcPr>
            <w:tcW w:w="1320" w:type="dxa"/>
            <w:vAlign w:val="top"/>
          </w:tcPr>
          <w:p w14:paraId="0BFA9387">
            <w:pPr>
              <w:pStyle w:val="56"/>
              <w:ind w:left="0" w:leftChars="0" w:firstLine="0" w:firstLineChars="0"/>
              <w:jc w:val="center"/>
              <w:rPr>
                <w:rFonts w:hint="default"/>
                <w:vertAlign w:val="baseline"/>
                <w:lang w:val="en-US" w:eastAsia="zh-CN"/>
              </w:rPr>
            </w:pPr>
            <w:r>
              <w:rPr>
                <w:rFonts w:hint="eastAsia"/>
                <w:vertAlign w:val="baseline"/>
                <w:lang w:val="en-US" w:eastAsia="zh-CN"/>
              </w:rPr>
              <w:t>底架</w:t>
            </w:r>
          </w:p>
        </w:tc>
        <w:tc>
          <w:tcPr>
            <w:tcW w:w="2290" w:type="dxa"/>
          </w:tcPr>
          <w:p w14:paraId="7E1F3FD6">
            <w:pPr>
              <w:pStyle w:val="56"/>
              <w:rPr>
                <w:rFonts w:hint="eastAsia"/>
                <w:vertAlign w:val="baseline"/>
                <w:lang w:val="en-US" w:eastAsia="zh-CN"/>
              </w:rPr>
            </w:pPr>
          </w:p>
        </w:tc>
      </w:tr>
    </w:tbl>
    <w:p w14:paraId="73E6203A">
      <w:pPr>
        <w:pStyle w:val="56"/>
        <w:rPr>
          <w:rFonts w:hint="eastAsia"/>
          <w:lang w:val="en-US" w:eastAsia="zh-CN"/>
        </w:rPr>
      </w:pPr>
    </w:p>
    <w:p w14:paraId="02A50317">
      <w:pPr>
        <w:pStyle w:val="56"/>
        <w:rPr>
          <w:rFonts w:hint="default"/>
          <w:lang w:val="en-US" w:eastAsia="zh-CN"/>
        </w:rPr>
      </w:pPr>
    </w:p>
    <w:p w14:paraId="02C01D4F">
      <w:pPr>
        <w:pStyle w:val="104"/>
        <w:spacing w:before="240" w:after="240"/>
      </w:pPr>
      <w:r>
        <w:rPr>
          <w:rFonts w:hint="eastAsia"/>
          <w:lang w:val="en-US" w:eastAsia="zh-CN"/>
        </w:rPr>
        <w:t>技术要求</w:t>
      </w:r>
    </w:p>
    <w:p w14:paraId="1F8AFFDA">
      <w:pPr>
        <w:pStyle w:val="105"/>
        <w:spacing w:before="120" w:after="120"/>
        <w:rPr>
          <w:rFonts w:hint="eastAsia"/>
          <w:lang w:val="en-US" w:eastAsia="zh-CN"/>
        </w:rPr>
      </w:pPr>
      <w:r>
        <w:rPr>
          <w:rFonts w:hint="eastAsia"/>
          <w:lang w:val="en-US" w:eastAsia="zh-CN"/>
        </w:rPr>
        <w:t>一般要求</w:t>
      </w:r>
      <w:bookmarkEnd w:id="59"/>
      <w:bookmarkEnd w:id="60"/>
    </w:p>
    <w:p w14:paraId="538B88E9">
      <w:pPr>
        <w:pStyle w:val="165"/>
        <w:bidi w:val="0"/>
        <w:rPr>
          <w:rFonts w:hint="eastAsia"/>
        </w:rPr>
      </w:pPr>
      <w:r>
        <w:rPr>
          <w:rFonts w:hint="eastAsia"/>
        </w:rPr>
        <w:t>在-40℃~+75℃环境下，卫星终端能正常工作。</w:t>
      </w:r>
    </w:p>
    <w:p w14:paraId="016B3366">
      <w:pPr>
        <w:pStyle w:val="165"/>
        <w:bidi w:val="0"/>
        <w:rPr>
          <w:rFonts w:hint="eastAsia"/>
        </w:rPr>
      </w:pPr>
      <w:r>
        <w:rPr>
          <w:rFonts w:hint="eastAsia"/>
        </w:rPr>
        <w:t>卫星终端平均无故障时间MTBF不小于2000小时。</w:t>
      </w:r>
    </w:p>
    <w:p w14:paraId="5484EE78">
      <w:pPr>
        <w:pStyle w:val="165"/>
        <w:bidi w:val="0"/>
        <w:rPr>
          <w:rFonts w:hint="eastAsia"/>
        </w:rPr>
      </w:pPr>
      <w:r>
        <w:rPr>
          <w:rFonts w:hint="eastAsia"/>
        </w:rPr>
        <w:t>通过应答机制、信息ID机制、重发机制、校验等机制保证卫星终端与卫星数据通信的准确可靠。</w:t>
      </w:r>
    </w:p>
    <w:p w14:paraId="6D89981F">
      <w:pPr>
        <w:pStyle w:val="105"/>
        <w:spacing w:before="120" w:after="120"/>
        <w:rPr>
          <w:rFonts w:hint="default"/>
          <w:lang w:val="en-US" w:eastAsia="zh-CN"/>
        </w:rPr>
      </w:pPr>
      <w:r>
        <w:rPr>
          <w:rFonts w:hint="eastAsia"/>
          <w:lang w:val="en-US" w:eastAsia="zh-CN"/>
        </w:rPr>
        <w:t>尺寸</w:t>
      </w:r>
    </w:p>
    <w:p w14:paraId="10BDD215">
      <w:pPr>
        <w:pStyle w:val="56"/>
        <w:rPr>
          <w:rFonts w:hint="eastAsia"/>
        </w:rPr>
      </w:pPr>
      <w:r>
        <w:rPr>
          <w:rFonts w:hint="eastAsia"/>
        </w:rPr>
        <w:t>卫星终端</w:t>
      </w:r>
      <w:r>
        <w:rPr>
          <w:rFonts w:hint="eastAsia"/>
          <w:lang w:val="en-US" w:eastAsia="zh-CN"/>
        </w:rPr>
        <w:t>的外部尺寸应尽可能小，</w:t>
      </w:r>
      <w:r>
        <w:rPr>
          <w:rFonts w:hint="eastAsia"/>
        </w:rPr>
        <w:t>尺寸宜不大于</w:t>
      </w:r>
      <w:r>
        <w:rPr>
          <w:rFonts w:hint="eastAsia"/>
          <w:lang w:val="en-US" w:eastAsia="zh-CN"/>
        </w:rPr>
        <w:t>300</w:t>
      </w:r>
      <w:r>
        <w:rPr>
          <w:rFonts w:hint="eastAsia"/>
        </w:rPr>
        <w:t>mm×</w:t>
      </w:r>
      <w:r>
        <w:rPr>
          <w:rFonts w:hint="eastAsia"/>
          <w:lang w:val="en-US" w:eastAsia="zh-CN"/>
        </w:rPr>
        <w:t>20</w:t>
      </w:r>
      <w:r>
        <w:rPr>
          <w:rFonts w:hint="eastAsia"/>
        </w:rPr>
        <w:t>0mm×</w:t>
      </w:r>
      <w:r>
        <w:rPr>
          <w:rFonts w:hint="eastAsia"/>
          <w:lang w:val="en-US" w:eastAsia="zh-CN"/>
        </w:rPr>
        <w:t>100</w:t>
      </w:r>
      <w:r>
        <w:rPr>
          <w:rFonts w:hint="eastAsia"/>
        </w:rPr>
        <w:t>mm。</w:t>
      </w:r>
    </w:p>
    <w:p w14:paraId="6D608432">
      <w:pPr>
        <w:pStyle w:val="105"/>
        <w:spacing w:before="120" w:after="120"/>
        <w:rPr>
          <w:rFonts w:hint="eastAsia"/>
          <w:lang w:val="en-US" w:eastAsia="zh-CN"/>
        </w:rPr>
      </w:pPr>
      <w:bookmarkStart w:id="61" w:name="_Toc24030537"/>
      <w:bookmarkStart w:id="62" w:name="_Toc24029588"/>
      <w:bookmarkStart w:id="63" w:name="_Toc71955485"/>
      <w:bookmarkStart w:id="64" w:name="_Toc20151400"/>
      <w:bookmarkStart w:id="65" w:name="_Toc71955848"/>
      <w:r>
        <w:rPr>
          <w:rFonts w:hint="eastAsia"/>
          <w:lang w:val="en-US" w:eastAsia="zh-CN"/>
        </w:rPr>
        <w:t>通讯性能</w:t>
      </w:r>
      <w:bookmarkEnd w:id="61"/>
      <w:bookmarkEnd w:id="62"/>
      <w:bookmarkEnd w:id="63"/>
      <w:bookmarkEnd w:id="64"/>
      <w:bookmarkEnd w:id="65"/>
    </w:p>
    <w:p w14:paraId="24A9C92B">
      <w:pPr>
        <w:pStyle w:val="56"/>
        <w:ind w:firstLine="420"/>
      </w:pPr>
      <w:r>
        <w:rPr>
          <w:rFonts w:hint="eastAsia"/>
        </w:rPr>
        <w:t>卫星通信性能应满足下列要求：</w:t>
      </w:r>
    </w:p>
    <w:p w14:paraId="3EAC0FDB">
      <w:pPr>
        <w:pStyle w:val="174"/>
      </w:pPr>
      <w:r>
        <w:rPr>
          <w:rFonts w:hint="eastAsia"/>
        </w:rPr>
        <w:t>发射输出功率不大于1W；</w:t>
      </w:r>
    </w:p>
    <w:p w14:paraId="542316DD">
      <w:pPr>
        <w:pStyle w:val="174"/>
      </w:pPr>
      <w:r>
        <w:fldChar w:fldCharType="begin"/>
      </w:r>
      <w:r>
        <w:instrText xml:space="preserve"> HYPERLINK "https://www.baidu.com/link?url=zBP8C8xPq2bypzKjt76-z3wus2g0z8LtY6l6MRZ8aQwOoZ1QIP0-ZODQZk4BK3bCi4BGJD2XMsOTOFJBKGlLwq&amp;wd=&amp;eqid=efc9dbe7000313d1000000035d5f99ab" \t "_blank" </w:instrText>
      </w:r>
      <w:r>
        <w:fldChar w:fldCharType="separate"/>
      </w:r>
      <w:r>
        <w:t>误包率</w:t>
      </w:r>
      <w:r>
        <w:fldChar w:fldCharType="end"/>
      </w:r>
      <w:r>
        <w:rPr>
          <w:rFonts w:hint="eastAsia"/>
        </w:rPr>
        <w:t>不大于1%；</w:t>
      </w:r>
    </w:p>
    <w:p w14:paraId="692CD2AD">
      <w:pPr>
        <w:pStyle w:val="174"/>
      </w:pPr>
      <w:r>
        <w:rPr>
          <w:rFonts w:hint="eastAsia"/>
        </w:rPr>
        <w:t>卫星过顶时接入成功率不低于95%。</w:t>
      </w:r>
    </w:p>
    <w:p w14:paraId="6D778B04">
      <w:pPr>
        <w:pStyle w:val="56"/>
        <w:rPr>
          <w:rFonts w:hint="default"/>
          <w:lang w:val="en-US" w:eastAsia="zh-CN"/>
        </w:rPr>
      </w:pPr>
    </w:p>
    <w:p w14:paraId="62328950">
      <w:pPr>
        <w:pStyle w:val="105"/>
        <w:bidi w:val="0"/>
        <w:ind w:left="0" w:leftChars="0" w:firstLine="0" w:firstLineChars="0"/>
        <w:rPr>
          <w:rFonts w:hint="eastAsia"/>
        </w:rPr>
      </w:pPr>
      <w:r>
        <w:rPr>
          <w:rFonts w:hint="eastAsia"/>
          <w:lang w:val="en-US" w:eastAsia="zh-CN"/>
        </w:rPr>
        <w:t>数据结构</w:t>
      </w:r>
    </w:p>
    <w:p w14:paraId="2DED7C2D">
      <w:pPr>
        <w:pStyle w:val="165"/>
        <w:bidi w:val="0"/>
        <w:rPr>
          <w:rFonts w:hint="eastAsia"/>
          <w:b/>
          <w:bCs/>
          <w:lang w:val="en-US" w:eastAsia="zh-CN"/>
        </w:rPr>
      </w:pPr>
      <w:r>
        <w:rPr>
          <w:rFonts w:hint="eastAsia"/>
          <w:b/>
          <w:bCs/>
          <w:lang w:val="en-US" w:eastAsia="zh-CN"/>
        </w:rPr>
        <w:t>数据类型</w:t>
      </w:r>
    </w:p>
    <w:p w14:paraId="3A526948">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协议内数据类型包含但不局限于表</w:t>
      </w:r>
      <w:r>
        <w:rPr>
          <w:rFonts w:hint="eastAsia" w:ascii="宋体" w:hAnsi="宋体" w:cs="宋体"/>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所有数据类型。</w:t>
      </w:r>
    </w:p>
    <w:p w14:paraId="2C2F6E46">
      <w:pPr>
        <w:keepNext w:val="0"/>
        <w:keepLines w:val="0"/>
        <w:pageBreakBefore w:val="0"/>
        <w:widowControl/>
        <w:suppressLineNumbers w:val="0"/>
        <w:kinsoku/>
        <w:wordWrap/>
        <w:overflowPunct/>
        <w:topLinePunct w:val="0"/>
        <w:autoSpaceDE/>
        <w:autoSpaceDN/>
        <w:bidi w:val="0"/>
        <w:adjustRightInd w:val="0"/>
        <w:snapToGrid/>
        <w:ind w:firstLine="420" w:firstLineChars="200"/>
        <w:jc w:val="center"/>
        <w:textAlignment w:val="auto"/>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表2：数据类型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19F6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7834BDEC">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b/>
                <w:bCs/>
                <w:color w:val="000000"/>
                <w:kern w:val="0"/>
                <w:sz w:val="21"/>
                <w:szCs w:val="21"/>
                <w:vertAlign w:val="baseline"/>
                <w:lang w:val="en-US" w:eastAsia="zh-CN" w:bidi="ar"/>
              </w:rPr>
            </w:pPr>
            <w:r>
              <w:rPr>
                <w:rFonts w:hint="eastAsia" w:ascii="宋体" w:hAnsi="宋体" w:eastAsia="宋体" w:cs="宋体"/>
                <w:b/>
                <w:bCs/>
                <w:color w:val="000000"/>
                <w:kern w:val="0"/>
                <w:sz w:val="18"/>
                <w:szCs w:val="18"/>
                <w:lang w:val="en-US" w:eastAsia="zh-CN" w:bidi="ar"/>
              </w:rPr>
              <w:t>数据类型</w:t>
            </w:r>
          </w:p>
        </w:tc>
        <w:tc>
          <w:tcPr>
            <w:tcW w:w="4785" w:type="dxa"/>
            <w:vAlign w:val="top"/>
          </w:tcPr>
          <w:p w14:paraId="34B020F2">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b/>
                <w:bCs/>
                <w:color w:val="000000"/>
                <w:kern w:val="0"/>
                <w:sz w:val="21"/>
                <w:szCs w:val="21"/>
                <w:vertAlign w:val="baseline"/>
                <w:lang w:val="en-US" w:eastAsia="zh-CN" w:bidi="ar"/>
              </w:rPr>
            </w:pPr>
            <w:r>
              <w:rPr>
                <w:rFonts w:hint="eastAsia" w:ascii="宋体" w:hAnsi="宋体" w:eastAsia="宋体" w:cs="宋体"/>
                <w:b/>
                <w:bCs/>
                <w:color w:val="000000"/>
                <w:kern w:val="0"/>
                <w:sz w:val="18"/>
                <w:szCs w:val="18"/>
                <w:lang w:val="en-US" w:eastAsia="zh-CN" w:bidi="ar"/>
              </w:rPr>
              <w:t>数据类型</w:t>
            </w:r>
          </w:p>
        </w:tc>
      </w:tr>
      <w:tr w14:paraId="36A1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7D444385">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描述及要求</w:t>
            </w:r>
          </w:p>
        </w:tc>
        <w:tc>
          <w:tcPr>
            <w:tcW w:w="4785" w:type="dxa"/>
            <w:vAlign w:val="top"/>
          </w:tcPr>
          <w:p w14:paraId="458973A9">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描述及要求</w:t>
            </w:r>
          </w:p>
        </w:tc>
      </w:tr>
      <w:tr w14:paraId="706E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09CD898B">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BYTE</w:t>
            </w:r>
          </w:p>
        </w:tc>
        <w:tc>
          <w:tcPr>
            <w:tcW w:w="4785" w:type="dxa"/>
            <w:vAlign w:val="top"/>
          </w:tcPr>
          <w:p w14:paraId="6E8DA93E">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BYTE</w:t>
            </w:r>
          </w:p>
        </w:tc>
      </w:tr>
      <w:tr w14:paraId="5D7A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0ACDDD5C">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无符号单字节整型（字节，8 位）</w:t>
            </w:r>
          </w:p>
        </w:tc>
        <w:tc>
          <w:tcPr>
            <w:tcW w:w="4785" w:type="dxa"/>
            <w:vAlign w:val="top"/>
          </w:tcPr>
          <w:p w14:paraId="5C508671">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无符号单字节整型（字节，8 位）</w:t>
            </w:r>
          </w:p>
        </w:tc>
      </w:tr>
      <w:tr w14:paraId="19FD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1AD720D5">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WORD</w:t>
            </w:r>
          </w:p>
        </w:tc>
        <w:tc>
          <w:tcPr>
            <w:tcW w:w="4785" w:type="dxa"/>
            <w:vAlign w:val="top"/>
          </w:tcPr>
          <w:p w14:paraId="67E1D624">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WORD</w:t>
            </w:r>
          </w:p>
        </w:tc>
      </w:tr>
      <w:tr w14:paraId="3211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79532B0A">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无符号双字节整型（字节，16 位）</w:t>
            </w:r>
          </w:p>
        </w:tc>
        <w:tc>
          <w:tcPr>
            <w:tcW w:w="4785" w:type="dxa"/>
            <w:vAlign w:val="top"/>
          </w:tcPr>
          <w:p w14:paraId="6942210E">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无符号双字节整型（字节，16 位）</w:t>
            </w:r>
          </w:p>
        </w:tc>
      </w:tr>
      <w:tr w14:paraId="5657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top"/>
          </w:tcPr>
          <w:p w14:paraId="28F25AD7">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DWORD</w:t>
            </w:r>
          </w:p>
        </w:tc>
        <w:tc>
          <w:tcPr>
            <w:tcW w:w="4785" w:type="dxa"/>
            <w:vAlign w:val="top"/>
          </w:tcPr>
          <w:p w14:paraId="18BC2681">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DWORD</w:t>
            </w:r>
          </w:p>
        </w:tc>
      </w:tr>
    </w:tbl>
    <w:p w14:paraId="0538A98B">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p>
    <w:p w14:paraId="39E6FA7E">
      <w:pPr>
        <w:pStyle w:val="165"/>
        <w:bidi w:val="0"/>
        <w:rPr>
          <w:rFonts w:hint="eastAsia"/>
          <w:b/>
          <w:bCs/>
          <w:lang w:val="en-US" w:eastAsia="zh-CN"/>
        </w:rPr>
      </w:pPr>
      <w:r>
        <w:rPr>
          <w:rFonts w:hint="eastAsia"/>
          <w:b/>
          <w:bCs/>
          <w:lang w:val="en-US" w:eastAsia="zh-CN"/>
        </w:rPr>
        <w:t>传输规则</w:t>
      </w:r>
    </w:p>
    <w:p w14:paraId="6C8C772C">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应采用大端模式的网络字节序来传递字和双字。传输规则如下： </w:t>
      </w:r>
    </w:p>
    <w:p w14:paraId="1A6C055B">
      <w:pPr>
        <w:keepNext w:val="0"/>
        <w:keepLines w:val="0"/>
        <w:pageBreakBefore w:val="0"/>
        <w:widowControl/>
        <w:numPr>
          <w:ilvl w:val="0"/>
          <w:numId w:val="32"/>
        </w:numPr>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字节（BYTE）的传输，按照字节流的方式传输；</w:t>
      </w:r>
    </w:p>
    <w:p w14:paraId="17960BA7">
      <w:pPr>
        <w:keepNext w:val="0"/>
        <w:keepLines w:val="0"/>
        <w:pageBreakBefore w:val="0"/>
        <w:widowControl/>
        <w:numPr>
          <w:ilvl w:val="0"/>
          <w:numId w:val="32"/>
        </w:numPr>
        <w:suppressLineNumbers w:val="0"/>
        <w:kinsoku/>
        <w:wordWrap/>
        <w:overflowPunct/>
        <w:topLinePunct w:val="0"/>
        <w:autoSpaceDE/>
        <w:autoSpaceDN/>
        <w:bidi w:val="0"/>
        <w:adjustRightInd w:val="0"/>
        <w:snapToGrid/>
        <w:ind w:firstLine="420" w:firstLineChars="200"/>
        <w:jc w:val="left"/>
        <w:textAlignment w:val="auto"/>
      </w:pPr>
      <w:r>
        <w:rPr>
          <w:rFonts w:hint="eastAsia" w:ascii="宋体" w:hAnsi="宋体" w:eastAsia="宋体" w:cs="宋体"/>
          <w:color w:val="000000"/>
          <w:kern w:val="0"/>
          <w:sz w:val="21"/>
          <w:szCs w:val="21"/>
          <w:lang w:val="en-US" w:eastAsia="zh-CN" w:bidi="ar"/>
        </w:rPr>
        <w:t>字（WORD）的传输，先传递高八位，再传递低八位；</w:t>
      </w:r>
    </w:p>
    <w:p w14:paraId="0BE92530">
      <w:pPr>
        <w:keepNext w:val="0"/>
        <w:keepLines w:val="0"/>
        <w:pageBreakBefore w:val="0"/>
        <w:widowControl/>
        <w:numPr>
          <w:ilvl w:val="0"/>
          <w:numId w:val="32"/>
        </w:numPr>
        <w:suppressLineNumbers w:val="0"/>
        <w:kinsoku/>
        <w:wordWrap/>
        <w:overflowPunct/>
        <w:topLinePunct w:val="0"/>
        <w:autoSpaceDE/>
        <w:autoSpaceDN/>
        <w:bidi w:val="0"/>
        <w:adjustRightInd w:val="0"/>
        <w:snapToGrid/>
        <w:ind w:firstLine="420" w:firstLineChars="200"/>
        <w:jc w:val="left"/>
        <w:textAlignment w:val="auto"/>
      </w:pPr>
      <w:r>
        <w:rPr>
          <w:rFonts w:hint="eastAsia" w:ascii="宋体" w:hAnsi="宋体" w:eastAsia="宋体" w:cs="宋体"/>
          <w:color w:val="000000"/>
          <w:kern w:val="0"/>
          <w:sz w:val="21"/>
          <w:szCs w:val="21"/>
          <w:lang w:val="en-US" w:eastAsia="zh-CN" w:bidi="ar"/>
        </w:rPr>
        <w:t xml:space="preserve">双字（DWORD）的传输，先传递高二十四位，然后传递高十六位，再传递高八位，最后传递低八 </w:t>
      </w:r>
    </w:p>
    <w:p w14:paraId="387BA9D4">
      <w:pPr>
        <w:keepNext w:val="0"/>
        <w:keepLines w:val="0"/>
        <w:widowControl/>
        <w:suppressLineNumbers w:val="0"/>
        <w:jc w:val="left"/>
      </w:pPr>
      <w:r>
        <w:rPr>
          <w:rFonts w:hint="eastAsia" w:ascii="宋体" w:hAnsi="宋体" w:eastAsia="宋体" w:cs="宋体"/>
          <w:color w:val="000000"/>
          <w:kern w:val="0"/>
          <w:sz w:val="21"/>
          <w:szCs w:val="21"/>
          <w:lang w:val="en-US" w:eastAsia="zh-CN" w:bidi="ar"/>
        </w:rPr>
        <w:t>位。</w:t>
      </w:r>
    </w:p>
    <w:p w14:paraId="7B6ED6D1">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14:paraId="160E673B">
      <w:pPr>
        <w:pStyle w:val="165"/>
        <w:bidi w:val="0"/>
        <w:rPr>
          <w:rFonts w:hint="eastAsia"/>
          <w:b/>
          <w:bCs/>
          <w:lang w:val="en-US" w:eastAsia="zh-CN"/>
        </w:rPr>
      </w:pPr>
      <w:r>
        <w:rPr>
          <w:rFonts w:hint="eastAsia"/>
          <w:b/>
          <w:bCs/>
          <w:lang w:val="en-US" w:eastAsia="zh-CN"/>
        </w:rPr>
        <w:t>消息结构</w:t>
      </w:r>
    </w:p>
    <w:p w14:paraId="267CAF46">
      <w:pPr>
        <w:pStyle w:val="56"/>
        <w:rPr>
          <w:rFonts w:hint="eastAsia"/>
          <w:b w:val="0"/>
          <w:bCs w:val="0"/>
        </w:rPr>
      </w:pPr>
    </w:p>
    <w:p w14:paraId="4D57A8B2">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每条消息由标识位、消息头、消息体和校验码组成，消息结构见图3。</w:t>
      </w:r>
    </w:p>
    <w:p w14:paraId="12F5F558">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14:paraId="2C9337E3">
      <w:pPr>
        <w:pStyle w:val="56"/>
      </w:pPr>
      <w:r>
        <w:drawing>
          <wp:inline distT="0" distB="0" distL="114300" distR="114300">
            <wp:extent cx="4635500" cy="527050"/>
            <wp:effectExtent l="0" t="0" r="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9"/>
                    <a:stretch>
                      <a:fillRect/>
                    </a:stretch>
                  </pic:blipFill>
                  <pic:spPr>
                    <a:xfrm>
                      <a:off x="0" y="0"/>
                      <a:ext cx="4635500" cy="527050"/>
                    </a:xfrm>
                    <a:prstGeom prst="rect">
                      <a:avLst/>
                    </a:prstGeom>
                    <a:noFill/>
                    <a:ln>
                      <a:noFill/>
                    </a:ln>
                  </pic:spPr>
                </pic:pic>
              </a:graphicData>
            </a:graphic>
          </wp:inline>
        </w:drawing>
      </w:r>
    </w:p>
    <w:p w14:paraId="0E812A8D">
      <w:pPr>
        <w:pStyle w:val="114"/>
        <w:spacing w:before="120" w:after="120"/>
        <w:ind w:firstLine="420"/>
        <w:rPr>
          <w:rFonts w:hint="default"/>
          <w:lang w:val="en-US" w:eastAsia="zh-CN"/>
        </w:rPr>
      </w:pPr>
      <w:r>
        <w:rPr>
          <w:rFonts w:hint="eastAsia"/>
          <w:lang w:val="en-US" w:eastAsia="zh-CN"/>
        </w:rPr>
        <w:t>消息结构</w:t>
      </w:r>
    </w:p>
    <w:p w14:paraId="165D825C">
      <w:pPr>
        <w:bidi w:val="0"/>
        <w:rPr>
          <w:rFonts w:hint="eastAsia"/>
          <w:lang w:val="en-US" w:eastAsia="zh-CN"/>
        </w:rPr>
      </w:pPr>
      <w:r>
        <w:rPr>
          <w:rFonts w:hint="eastAsia"/>
          <w:lang w:val="en-US" w:eastAsia="zh-CN"/>
        </w:rPr>
        <w:t>6.4.3.1</w:t>
      </w:r>
      <w:r>
        <w:rPr>
          <w:rFonts w:hint="eastAsia" w:ascii="宋体" w:hAnsi="Times New Roman" w:eastAsia="宋体" w:cs="Times New Roman"/>
          <w:b/>
          <w:bCs/>
          <w:kern w:val="0"/>
          <w:sz w:val="21"/>
          <w:szCs w:val="20"/>
          <w:lang w:val="en-US" w:eastAsia="zh-CN" w:bidi="ar-SA"/>
        </w:rPr>
        <w:t xml:space="preserve">标识位 </w:t>
      </w:r>
    </w:p>
    <w:p w14:paraId="72D620B4">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采用0x11aa做为标识头，采用0x1d1a做为标识尾，若校验码、消息头以及消息体中出现0x11aa或 0x1d1a，则要进行转义处理，转义规则如下：</w:t>
      </w:r>
    </w:p>
    <w:p w14:paraId="1160AA70">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a）0x11aa&lt;---&gt;0x0x11ab后紧跟一个0x02；</w:t>
      </w:r>
    </w:p>
    <w:p w14:paraId="797C42D6">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b）0x1d1a&lt;---&gt;0x0x1d1b后紧跟一个0x02；</w:t>
      </w:r>
    </w:p>
    <w:p w14:paraId="6EA1FF74">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c）0x11ab&lt;---&gt;0x0x11ab后紧跟一个0x01；</w:t>
      </w:r>
    </w:p>
    <w:p w14:paraId="6876AEEF">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pPr>
      <w:r>
        <w:rPr>
          <w:rFonts w:hint="eastAsia" w:ascii="宋体" w:hAnsi="宋体" w:eastAsia="宋体" w:cs="宋体"/>
          <w:color w:val="000000"/>
          <w:kern w:val="0"/>
          <w:sz w:val="21"/>
          <w:szCs w:val="21"/>
          <w:lang w:val="en-US" w:eastAsia="zh-CN" w:bidi="ar"/>
        </w:rPr>
        <w:t xml:space="preserve">d）0x1d1b&lt;---&gt;0x0x1d1b后紧跟一个0x01； </w:t>
      </w:r>
    </w:p>
    <w:p w14:paraId="40E7E375">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转义处理过程如下：</w:t>
      </w:r>
    </w:p>
    <w:p w14:paraId="315D0ED5">
      <w:pPr>
        <w:keepNext w:val="0"/>
        <w:keepLines w:val="0"/>
        <w:pageBreakBefore w:val="0"/>
        <w:widowControl/>
        <w:numPr>
          <w:ilvl w:val="0"/>
          <w:numId w:val="33"/>
        </w:numPr>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发送消息时：消息封装---&gt;计算并填充校验码---&gt;转义；</w:t>
      </w:r>
    </w:p>
    <w:p w14:paraId="5D677BB3">
      <w:pPr>
        <w:keepNext w:val="0"/>
        <w:keepLines w:val="0"/>
        <w:pageBreakBefore w:val="0"/>
        <w:widowControl/>
        <w:numPr>
          <w:ilvl w:val="0"/>
          <w:numId w:val="33"/>
        </w:numPr>
        <w:suppressLineNumbers w:val="0"/>
        <w:kinsoku/>
        <w:wordWrap/>
        <w:overflowPunct/>
        <w:topLinePunct w:val="0"/>
        <w:autoSpaceDE/>
        <w:autoSpaceDN/>
        <w:bidi w:val="0"/>
        <w:adjustRightInd w:val="0"/>
        <w:snapToGrid/>
        <w:ind w:firstLine="420" w:firstLineChars="200"/>
        <w:jc w:val="left"/>
        <w:textAlignment w:val="auto"/>
      </w:pPr>
      <w:r>
        <w:rPr>
          <w:rFonts w:hint="eastAsia" w:ascii="宋体" w:hAnsi="宋体" w:eastAsia="宋体" w:cs="宋体"/>
          <w:color w:val="000000"/>
          <w:kern w:val="0"/>
          <w:sz w:val="21"/>
          <w:szCs w:val="21"/>
          <w:lang w:val="en-US" w:eastAsia="zh-CN" w:bidi="ar"/>
        </w:rPr>
        <w:t>接收消息时：转义还原---&gt;验证校验码---&gt;解析消息。</w:t>
      </w:r>
    </w:p>
    <w:p w14:paraId="3E210DDD">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00" w:lineRule="exact"/>
        <w:jc w:val="left"/>
        <w:textAlignment w:val="auto"/>
        <w:rPr>
          <w:rFonts w:hint="eastAsia" w:ascii="宋体" w:hAnsi="宋体" w:eastAsia="宋体" w:cs="宋体"/>
          <w:color w:val="000000"/>
          <w:kern w:val="0"/>
          <w:sz w:val="21"/>
          <w:szCs w:val="21"/>
          <w:lang w:val="en-US" w:eastAsia="zh-CN" w:bidi="ar"/>
        </w:rPr>
      </w:pPr>
    </w:p>
    <w:p w14:paraId="4F0FBABE">
      <w:pPr>
        <w:bidi w:val="0"/>
        <w:rPr>
          <w:rFonts w:ascii="黑体" w:hAnsi="宋体" w:eastAsia="黑体" w:cs="黑体"/>
          <w:color w:val="000000"/>
          <w:kern w:val="0"/>
          <w:sz w:val="21"/>
          <w:szCs w:val="21"/>
          <w:lang w:val="en-US" w:eastAsia="zh-CN" w:bidi="ar"/>
        </w:rPr>
      </w:pPr>
      <w:r>
        <w:rPr>
          <w:rFonts w:hint="eastAsia"/>
          <w:lang w:val="en-US" w:eastAsia="zh-CN"/>
        </w:rPr>
        <w:t>6.4.3.2</w:t>
      </w:r>
      <w:r>
        <w:rPr>
          <w:rFonts w:ascii="黑体" w:hAnsi="宋体" w:eastAsia="黑体" w:cs="黑体"/>
          <w:color w:val="000000"/>
          <w:kern w:val="0"/>
          <w:sz w:val="21"/>
          <w:szCs w:val="21"/>
          <w:lang w:val="en-US" w:eastAsia="zh-CN" w:bidi="ar"/>
        </w:rPr>
        <w:t>消息头</w:t>
      </w:r>
    </w:p>
    <w:p w14:paraId="26EB2195">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消息头内容详见表</w:t>
      </w:r>
      <w:r>
        <w:rPr>
          <w:rFonts w:hint="eastAsia" w:ascii="宋体" w:hAnsi="宋体" w:cs="宋体"/>
          <w:color w:val="000000"/>
          <w:kern w:val="0"/>
          <w:sz w:val="21"/>
          <w:szCs w:val="21"/>
          <w:lang w:val="en-US" w:eastAsia="zh-CN" w:bidi="ar"/>
        </w:rPr>
        <w:t>3。</w:t>
      </w:r>
    </w:p>
    <w:p w14:paraId="236E3531">
      <w:pPr>
        <w:keepNext w:val="0"/>
        <w:keepLines w:val="0"/>
        <w:pageBreakBefore w:val="0"/>
        <w:widowControl/>
        <w:suppressLineNumbers w:val="0"/>
        <w:kinsoku/>
        <w:wordWrap/>
        <w:overflowPunct/>
        <w:topLinePunct w:val="0"/>
        <w:autoSpaceDE/>
        <w:autoSpaceDN/>
        <w:bidi w:val="0"/>
        <w:adjustRightInd w:val="0"/>
        <w:snapToGrid/>
        <w:ind w:firstLine="420" w:firstLineChars="200"/>
        <w:jc w:val="center"/>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表3：消息头内容</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6276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392" w:type="dxa"/>
          </w:tcPr>
          <w:p w14:paraId="1AB09498">
            <w:pPr>
              <w:keepNext w:val="0"/>
              <w:keepLines w:val="0"/>
              <w:widowControl/>
              <w:suppressLineNumbers w:val="0"/>
              <w:jc w:val="center"/>
              <w:rPr>
                <w:rFonts w:hint="default" w:ascii="宋体" w:hAnsi="宋体" w:cs="宋体"/>
                <w:b/>
                <w:bCs/>
                <w:color w:val="000000"/>
                <w:kern w:val="0"/>
                <w:sz w:val="21"/>
                <w:szCs w:val="21"/>
                <w:vertAlign w:val="baseline"/>
                <w:lang w:val="en-US" w:eastAsia="zh-CN" w:bidi="ar"/>
              </w:rPr>
            </w:pPr>
            <w:r>
              <w:rPr>
                <w:rFonts w:hint="eastAsia" w:ascii="宋体" w:hAnsi="宋体" w:eastAsia="宋体" w:cs="宋体"/>
                <w:b/>
                <w:bCs/>
                <w:color w:val="000000"/>
                <w:kern w:val="0"/>
                <w:sz w:val="18"/>
                <w:szCs w:val="18"/>
                <w:lang w:val="en-US" w:eastAsia="zh-CN" w:bidi="ar"/>
              </w:rPr>
              <w:t>起始字节</w:t>
            </w:r>
          </w:p>
        </w:tc>
        <w:tc>
          <w:tcPr>
            <w:tcW w:w="2392" w:type="dxa"/>
          </w:tcPr>
          <w:p w14:paraId="37C57F54">
            <w:pPr>
              <w:keepNext w:val="0"/>
              <w:keepLines w:val="0"/>
              <w:pageBreakBefore w:val="0"/>
              <w:widowControl/>
              <w:suppressLineNumbers w:val="0"/>
              <w:kinsoku/>
              <w:wordWrap/>
              <w:overflowPunct/>
              <w:topLinePunct w:val="0"/>
              <w:autoSpaceDE/>
              <w:autoSpaceDN/>
              <w:bidi w:val="0"/>
              <w:adjustRightInd w:val="0"/>
              <w:snapToGrid/>
              <w:jc w:val="center"/>
              <w:textAlignment w:val="auto"/>
              <w:rPr>
                <w:rFonts w:hint="default" w:ascii="宋体" w:hAnsi="宋体" w:cs="宋体"/>
                <w:b/>
                <w:bCs/>
                <w:color w:val="000000"/>
                <w:kern w:val="0"/>
                <w:sz w:val="21"/>
                <w:szCs w:val="21"/>
                <w:vertAlign w:val="baseline"/>
                <w:lang w:val="en-US" w:eastAsia="zh-CN" w:bidi="ar"/>
              </w:rPr>
            </w:pPr>
            <w:r>
              <w:rPr>
                <w:rFonts w:hint="eastAsia" w:ascii="宋体" w:hAnsi="宋体" w:eastAsia="宋体" w:cs="宋体"/>
                <w:b/>
                <w:bCs/>
                <w:color w:val="000000"/>
                <w:kern w:val="0"/>
                <w:sz w:val="18"/>
                <w:szCs w:val="18"/>
                <w:lang w:val="en-US" w:eastAsia="zh-CN" w:bidi="ar"/>
              </w:rPr>
              <w:t>字段</w:t>
            </w:r>
          </w:p>
        </w:tc>
        <w:tc>
          <w:tcPr>
            <w:tcW w:w="2393" w:type="dxa"/>
          </w:tcPr>
          <w:p w14:paraId="7CF2BA4D">
            <w:pPr>
              <w:keepNext w:val="0"/>
              <w:keepLines w:val="0"/>
              <w:widowControl/>
              <w:suppressLineNumbers w:val="0"/>
              <w:jc w:val="center"/>
              <w:rPr>
                <w:rFonts w:hint="default" w:ascii="宋体" w:hAnsi="宋体" w:cs="宋体"/>
                <w:b/>
                <w:bCs/>
                <w:color w:val="000000"/>
                <w:kern w:val="0"/>
                <w:sz w:val="21"/>
                <w:szCs w:val="21"/>
                <w:vertAlign w:val="baseline"/>
                <w:lang w:val="en-US" w:eastAsia="zh-CN" w:bidi="ar"/>
              </w:rPr>
            </w:pPr>
            <w:r>
              <w:rPr>
                <w:rFonts w:hint="eastAsia" w:ascii="宋体" w:hAnsi="宋体" w:eastAsia="宋体" w:cs="宋体"/>
                <w:b/>
                <w:bCs/>
                <w:color w:val="000000"/>
                <w:kern w:val="0"/>
                <w:sz w:val="18"/>
                <w:szCs w:val="18"/>
                <w:lang w:val="en-US" w:eastAsia="zh-CN" w:bidi="ar"/>
              </w:rPr>
              <w:t>数据类型</w:t>
            </w:r>
          </w:p>
        </w:tc>
        <w:tc>
          <w:tcPr>
            <w:tcW w:w="2393" w:type="dxa"/>
          </w:tcPr>
          <w:p w14:paraId="4F06D58A">
            <w:pPr>
              <w:keepNext w:val="0"/>
              <w:keepLines w:val="0"/>
              <w:widowControl/>
              <w:suppressLineNumbers w:val="0"/>
              <w:jc w:val="center"/>
              <w:rPr>
                <w:rFonts w:hint="default" w:ascii="宋体" w:hAnsi="宋体" w:cs="宋体"/>
                <w:b/>
                <w:bCs/>
                <w:color w:val="000000"/>
                <w:kern w:val="0"/>
                <w:sz w:val="21"/>
                <w:szCs w:val="21"/>
                <w:vertAlign w:val="baseline"/>
                <w:lang w:val="en-US" w:eastAsia="zh-CN" w:bidi="ar"/>
              </w:rPr>
            </w:pPr>
            <w:r>
              <w:rPr>
                <w:rFonts w:hint="eastAsia" w:ascii="宋体" w:hAnsi="宋体" w:eastAsia="宋体" w:cs="宋体"/>
                <w:b/>
                <w:bCs/>
                <w:color w:val="000000"/>
                <w:kern w:val="0"/>
                <w:sz w:val="18"/>
                <w:szCs w:val="18"/>
                <w:lang w:val="en-US" w:eastAsia="zh-CN" w:bidi="ar"/>
              </w:rPr>
              <w:t>描述及要求</w:t>
            </w:r>
          </w:p>
        </w:tc>
      </w:tr>
      <w:tr w14:paraId="08F1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39F2DAFF">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0 </w:t>
            </w:r>
          </w:p>
        </w:tc>
        <w:tc>
          <w:tcPr>
            <w:tcW w:w="2392" w:type="dxa"/>
          </w:tcPr>
          <w:p w14:paraId="0D182E41">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消息 ID </w:t>
            </w:r>
          </w:p>
        </w:tc>
        <w:tc>
          <w:tcPr>
            <w:tcW w:w="2393" w:type="dxa"/>
          </w:tcPr>
          <w:p w14:paraId="6E5A0E0B">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WORD</w:t>
            </w:r>
          </w:p>
        </w:tc>
        <w:tc>
          <w:tcPr>
            <w:tcW w:w="2393" w:type="dxa"/>
          </w:tcPr>
          <w:p w14:paraId="03E5198C">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r>
              <w:rPr>
                <w:rFonts w:hint="eastAsia" w:ascii="宋体" w:hAnsi="宋体" w:cs="宋体"/>
                <w:color w:val="000000"/>
                <w:kern w:val="0"/>
                <w:sz w:val="21"/>
                <w:szCs w:val="21"/>
                <w:vertAlign w:val="baseline"/>
                <w:lang w:val="en-US" w:eastAsia="zh-CN" w:bidi="ar"/>
              </w:rPr>
              <w:t>-</w:t>
            </w:r>
          </w:p>
        </w:tc>
      </w:tr>
      <w:tr w14:paraId="7E05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53179B76">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消息体属性 </w:t>
            </w:r>
          </w:p>
        </w:tc>
        <w:tc>
          <w:tcPr>
            <w:tcW w:w="2392" w:type="dxa"/>
          </w:tcPr>
          <w:p w14:paraId="652CE265">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WORD </w:t>
            </w:r>
          </w:p>
        </w:tc>
        <w:tc>
          <w:tcPr>
            <w:tcW w:w="2393" w:type="dxa"/>
          </w:tcPr>
          <w:p w14:paraId="5C99991C">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消息体属性格式结构见图 </w:t>
            </w:r>
            <w:r>
              <w:rPr>
                <w:rFonts w:hint="eastAsia" w:ascii="宋体" w:hAnsi="宋体" w:cs="宋体"/>
                <w:color w:val="000000"/>
                <w:kern w:val="0"/>
                <w:sz w:val="18"/>
                <w:szCs w:val="18"/>
                <w:lang w:val="en-US" w:eastAsia="zh-CN" w:bidi="ar"/>
              </w:rPr>
              <w:t>3</w:t>
            </w:r>
          </w:p>
        </w:tc>
        <w:tc>
          <w:tcPr>
            <w:tcW w:w="2393" w:type="dxa"/>
          </w:tcPr>
          <w:p w14:paraId="68C0264F">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p>
        </w:tc>
      </w:tr>
      <w:tr w14:paraId="3136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43B3CC63">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4 </w:t>
            </w:r>
          </w:p>
        </w:tc>
        <w:tc>
          <w:tcPr>
            <w:tcW w:w="2392" w:type="dxa"/>
          </w:tcPr>
          <w:p w14:paraId="12D8FB56">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协议版本号 </w:t>
            </w:r>
          </w:p>
        </w:tc>
        <w:tc>
          <w:tcPr>
            <w:tcW w:w="2393" w:type="dxa"/>
          </w:tcPr>
          <w:p w14:paraId="2E065163">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BYTE </w:t>
            </w:r>
          </w:p>
        </w:tc>
        <w:tc>
          <w:tcPr>
            <w:tcW w:w="2393" w:type="dxa"/>
          </w:tcPr>
          <w:p w14:paraId="3C367284">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协议版本，每次关键修订递增，初始版本为 l</w:t>
            </w:r>
          </w:p>
        </w:tc>
      </w:tr>
      <w:tr w14:paraId="2B0B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6DE0DE2A">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5 </w:t>
            </w:r>
          </w:p>
        </w:tc>
        <w:tc>
          <w:tcPr>
            <w:tcW w:w="2392" w:type="dxa"/>
          </w:tcPr>
          <w:p w14:paraId="4274DC30">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SCSCD 序列号 </w:t>
            </w:r>
          </w:p>
        </w:tc>
        <w:tc>
          <w:tcPr>
            <w:tcW w:w="2393" w:type="dxa"/>
          </w:tcPr>
          <w:p w14:paraId="250D1B6B">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BCD[10]</w:t>
            </w:r>
          </w:p>
        </w:tc>
        <w:tc>
          <w:tcPr>
            <w:tcW w:w="2393" w:type="dxa"/>
          </w:tcPr>
          <w:p w14:paraId="49DD4209">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根据安装后 SCSCD 自身的 SCSCD 号转换。SCSCD </w:t>
            </w:r>
          </w:p>
          <w:p w14:paraId="1ED9A3CD">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号不足位的，则在前补充数字 0</w:t>
            </w:r>
          </w:p>
        </w:tc>
      </w:tr>
      <w:tr w14:paraId="6F66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02D11D69">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15 </w:t>
            </w:r>
          </w:p>
        </w:tc>
        <w:tc>
          <w:tcPr>
            <w:tcW w:w="2392" w:type="dxa"/>
          </w:tcPr>
          <w:p w14:paraId="0A6AF81D">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消息流水号</w:t>
            </w:r>
          </w:p>
        </w:tc>
        <w:tc>
          <w:tcPr>
            <w:tcW w:w="2393" w:type="dxa"/>
          </w:tcPr>
          <w:p w14:paraId="5CC04ADF">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WORD </w:t>
            </w:r>
          </w:p>
        </w:tc>
        <w:tc>
          <w:tcPr>
            <w:tcW w:w="2393" w:type="dxa"/>
          </w:tcPr>
          <w:p w14:paraId="50CC487D">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按发送顺序从 0 开始循环累加，超过 65535 时 </w:t>
            </w:r>
          </w:p>
          <w:p w14:paraId="5F49205D">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重新开始</w:t>
            </w:r>
          </w:p>
        </w:tc>
      </w:tr>
      <w:tr w14:paraId="5F316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0FC51161">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17 </w:t>
            </w:r>
          </w:p>
          <w:p w14:paraId="6C9521AE">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p>
        </w:tc>
        <w:tc>
          <w:tcPr>
            <w:tcW w:w="2392" w:type="dxa"/>
          </w:tcPr>
          <w:p w14:paraId="0A0293ED">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时间戳 </w:t>
            </w:r>
          </w:p>
        </w:tc>
        <w:tc>
          <w:tcPr>
            <w:tcW w:w="2393" w:type="dxa"/>
          </w:tcPr>
          <w:p w14:paraId="552407C2">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DWORD </w:t>
            </w:r>
          </w:p>
          <w:p w14:paraId="43FBFB87">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p>
        </w:tc>
        <w:tc>
          <w:tcPr>
            <w:tcW w:w="2393" w:type="dxa"/>
          </w:tcPr>
          <w:p w14:paraId="4055BEA6">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UTC 时间 </w:t>
            </w:r>
          </w:p>
          <w:p w14:paraId="72545095">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bit31-bit26:年 </w:t>
            </w:r>
          </w:p>
          <w:p w14:paraId="1528C489">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从 2000 年开始，如 2014 为 14 </w:t>
            </w:r>
          </w:p>
          <w:p w14:paraId="4DE90D9C">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bit25-bit22:月 </w:t>
            </w:r>
          </w:p>
          <w:p w14:paraId="4306F725">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bit21-bit17:日 </w:t>
            </w:r>
          </w:p>
          <w:p w14:paraId="1B790F7F">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bit16-bit0:时间，秒为单位</w:t>
            </w:r>
          </w:p>
        </w:tc>
      </w:tr>
      <w:tr w14:paraId="3FC5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3FAAF6E0">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21 </w:t>
            </w:r>
          </w:p>
          <w:p w14:paraId="5A757EC6">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p>
        </w:tc>
        <w:tc>
          <w:tcPr>
            <w:tcW w:w="2392" w:type="dxa"/>
          </w:tcPr>
          <w:p w14:paraId="3F70F93D">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命令字 </w:t>
            </w:r>
          </w:p>
          <w:p w14:paraId="6F5AE4FD">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p>
        </w:tc>
        <w:tc>
          <w:tcPr>
            <w:tcW w:w="2393" w:type="dxa"/>
          </w:tcPr>
          <w:p w14:paraId="3AECCC13">
            <w:pPr>
              <w:keepNext w:val="0"/>
              <w:keepLines w:val="0"/>
              <w:pageBreakBefore w:val="0"/>
              <w:widowControl/>
              <w:suppressLineNumbers w:val="0"/>
              <w:kinsoku/>
              <w:wordWrap/>
              <w:overflowPunct/>
              <w:topLinePunct w:val="0"/>
              <w:autoSpaceDE/>
              <w:autoSpaceDN/>
              <w:bidi w:val="0"/>
              <w:adjustRightInd w:val="0"/>
              <w:snapToGrid/>
              <w:jc w:val="left"/>
              <w:textAlignment w:val="auto"/>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WORD</w:t>
            </w:r>
          </w:p>
        </w:tc>
        <w:tc>
          <w:tcPr>
            <w:tcW w:w="2393" w:type="dxa"/>
          </w:tcPr>
          <w:p w14:paraId="2AC7456F">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主命令(1 字节) + 子命令(1 字节）</w:t>
            </w:r>
          </w:p>
        </w:tc>
      </w:tr>
      <w:tr w14:paraId="4D86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1ECB6551">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22 </w:t>
            </w:r>
          </w:p>
        </w:tc>
        <w:tc>
          <w:tcPr>
            <w:tcW w:w="2392" w:type="dxa"/>
          </w:tcPr>
          <w:p w14:paraId="52AE76EB">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消息包封装项 </w:t>
            </w:r>
          </w:p>
        </w:tc>
        <w:tc>
          <w:tcPr>
            <w:tcW w:w="2393" w:type="dxa"/>
          </w:tcPr>
          <w:p w14:paraId="130738E2">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 xml:space="preserve">- </w:t>
            </w:r>
          </w:p>
        </w:tc>
        <w:tc>
          <w:tcPr>
            <w:tcW w:w="2393" w:type="dxa"/>
          </w:tcPr>
          <w:p w14:paraId="02D79118">
            <w:pPr>
              <w:keepNext w:val="0"/>
              <w:keepLines w:val="0"/>
              <w:widowControl/>
              <w:suppressLineNumbers w:val="0"/>
              <w:jc w:val="left"/>
              <w:rPr>
                <w:rFonts w:hint="default" w:ascii="宋体" w:hAnsi="宋体" w:cs="宋体"/>
                <w:color w:val="000000"/>
                <w:kern w:val="0"/>
                <w:sz w:val="21"/>
                <w:szCs w:val="21"/>
                <w:vertAlign w:val="baseline"/>
                <w:lang w:val="en-US" w:eastAsia="zh-CN" w:bidi="ar"/>
              </w:rPr>
            </w:pPr>
            <w:r>
              <w:rPr>
                <w:rFonts w:hint="eastAsia" w:ascii="宋体" w:hAnsi="宋体" w:eastAsia="宋体" w:cs="宋体"/>
                <w:color w:val="000000"/>
                <w:kern w:val="0"/>
                <w:sz w:val="18"/>
                <w:szCs w:val="18"/>
                <w:lang w:val="en-US" w:eastAsia="zh-CN" w:bidi="ar"/>
              </w:rPr>
              <w:t>如果消息体属性中相关标识位确定消息分包处理，则该项有内容，否则无该项</w:t>
            </w:r>
          </w:p>
        </w:tc>
      </w:tr>
    </w:tbl>
    <w:p w14:paraId="0AFF65E6">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宋体" w:hAnsi="宋体" w:cs="宋体"/>
          <w:color w:val="000000"/>
          <w:kern w:val="0"/>
          <w:sz w:val="21"/>
          <w:szCs w:val="21"/>
          <w:lang w:val="en-US" w:eastAsia="zh-CN" w:bidi="ar"/>
        </w:rPr>
      </w:pPr>
    </w:p>
    <w:p w14:paraId="7532FC21">
      <w:pPr>
        <w:bidi w:val="0"/>
        <w:rPr>
          <w:rFonts w:ascii="黑体" w:hAnsi="宋体" w:eastAsia="黑体" w:cs="黑体"/>
          <w:color w:val="000000"/>
          <w:kern w:val="0"/>
          <w:sz w:val="21"/>
          <w:szCs w:val="21"/>
          <w:lang w:val="en-US" w:eastAsia="zh-CN" w:bidi="ar"/>
        </w:rPr>
      </w:pPr>
      <w:r>
        <w:rPr>
          <w:rFonts w:hint="eastAsia"/>
          <w:lang w:val="en-US" w:eastAsia="zh-CN"/>
        </w:rPr>
        <w:t>6.4.3.3</w:t>
      </w:r>
      <w:r>
        <w:rPr>
          <w:rFonts w:ascii="黑体" w:hAnsi="宋体" w:eastAsia="黑体" w:cs="黑体"/>
          <w:color w:val="000000"/>
          <w:kern w:val="0"/>
          <w:sz w:val="21"/>
          <w:szCs w:val="21"/>
          <w:lang w:val="en-US" w:eastAsia="zh-CN" w:bidi="ar"/>
        </w:rPr>
        <w:t>消息体</w:t>
      </w:r>
    </w:p>
    <w:p w14:paraId="6377827E">
      <w:pPr>
        <w:keepNext w:val="0"/>
        <w:keepLines w:val="0"/>
        <w:widowControl/>
        <w:suppressLineNumbers w:val="0"/>
        <w:jc w:val="left"/>
      </w:pPr>
      <w:r>
        <w:rPr>
          <w:rFonts w:hint="eastAsia" w:ascii="宋体" w:hAnsi="宋体" w:eastAsia="宋体" w:cs="宋体"/>
          <w:color w:val="000000"/>
          <w:kern w:val="0"/>
          <w:sz w:val="21"/>
          <w:szCs w:val="21"/>
          <w:lang w:val="en-US" w:eastAsia="zh-CN" w:bidi="ar"/>
        </w:rPr>
        <w:t>消息体内容见图</w:t>
      </w:r>
      <w:r>
        <w:rPr>
          <w:rFonts w:hint="eastAsia" w:ascii="宋体" w:hAnsi="宋体" w:cs="宋体"/>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w:t>
      </w:r>
    </w:p>
    <w:p w14:paraId="1FF59EAC">
      <w:pPr>
        <w:bidi w:val="0"/>
        <w:rPr>
          <w:rFonts w:ascii="黑体" w:hAnsi="宋体" w:eastAsia="黑体" w:cs="黑体"/>
          <w:color w:val="000000"/>
          <w:kern w:val="0"/>
          <w:sz w:val="21"/>
          <w:szCs w:val="21"/>
          <w:lang w:val="en-US" w:eastAsia="zh-CN" w:bidi="ar"/>
        </w:rPr>
      </w:pPr>
    </w:p>
    <w:p w14:paraId="53994E78">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drawing>
          <wp:inline distT="0" distB="0" distL="114300" distR="114300">
            <wp:extent cx="5937250" cy="965835"/>
            <wp:effectExtent l="0" t="0" r="6350" b="12065"/>
            <wp:docPr id="12" name="图片 1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1"/>
                    <pic:cNvPicPr>
                      <a:picLocks noChangeAspect="1"/>
                    </pic:cNvPicPr>
                  </pic:nvPicPr>
                  <pic:blipFill>
                    <a:blip r:embed="rId20"/>
                    <a:stretch>
                      <a:fillRect/>
                    </a:stretch>
                  </pic:blipFill>
                  <pic:spPr>
                    <a:xfrm>
                      <a:off x="0" y="0"/>
                      <a:ext cx="5937250" cy="965835"/>
                    </a:xfrm>
                    <a:prstGeom prst="rect">
                      <a:avLst/>
                    </a:prstGeom>
                  </pic:spPr>
                </pic:pic>
              </a:graphicData>
            </a:graphic>
          </wp:inline>
        </w:drawing>
      </w:r>
    </w:p>
    <w:p w14:paraId="1062144B">
      <w:pPr>
        <w:pStyle w:val="114"/>
        <w:spacing w:before="120" w:after="120"/>
        <w:ind w:firstLine="420"/>
        <w:rPr>
          <w:rFonts w:hint="eastAsia"/>
          <w:lang w:val="en-US" w:eastAsia="zh-CN"/>
        </w:rPr>
      </w:pPr>
      <w:r>
        <w:rPr>
          <w:rFonts w:hint="eastAsia"/>
          <w:lang w:val="en-US" w:eastAsia="zh-CN"/>
        </w:rPr>
        <w:t>消息体属性格式结构图</w:t>
      </w:r>
    </w:p>
    <w:p w14:paraId="063DA792">
      <w:pPr>
        <w:pStyle w:val="105"/>
        <w:spacing w:before="120" w:after="120"/>
        <w:rPr>
          <w:rFonts w:hint="eastAsia"/>
          <w:lang w:val="en-US" w:eastAsia="zh-CN"/>
        </w:rPr>
      </w:pPr>
      <w:bookmarkStart w:id="66" w:name="_Toc71955847"/>
      <w:bookmarkStart w:id="67" w:name="_Toc71906915"/>
      <w:bookmarkStart w:id="68" w:name="_Toc22772"/>
      <w:bookmarkStart w:id="69" w:name="_Toc71955477"/>
      <w:r>
        <w:rPr>
          <w:rFonts w:hint="eastAsia"/>
          <w:lang w:val="en-US" w:eastAsia="zh-CN"/>
        </w:rPr>
        <w:t>理化性能</w:t>
      </w:r>
      <w:bookmarkEnd w:id="66"/>
      <w:bookmarkEnd w:id="67"/>
      <w:bookmarkEnd w:id="68"/>
      <w:bookmarkEnd w:id="69"/>
    </w:p>
    <w:p w14:paraId="2C04A5EA">
      <w:pPr>
        <w:pStyle w:val="165"/>
        <w:bidi w:val="0"/>
        <w:rPr>
          <w:rFonts w:hint="eastAsia"/>
          <w:b/>
          <w:bCs/>
        </w:rPr>
      </w:pPr>
      <w:bookmarkStart w:id="70" w:name="_Toc71955478"/>
      <w:r>
        <w:rPr>
          <w:rFonts w:hint="eastAsia"/>
          <w:b/>
          <w:bCs/>
        </w:rPr>
        <w:t>低温</w:t>
      </w:r>
      <w:bookmarkEnd w:id="70"/>
    </w:p>
    <w:p w14:paraId="5D22FCB9">
      <w:pPr>
        <w:pStyle w:val="56"/>
        <w:ind w:firstLine="420"/>
      </w:pPr>
      <w:r>
        <w:rPr>
          <w:rFonts w:hint="eastAsia"/>
        </w:rPr>
        <w:t>卫星终端经受 GB/T 2423.1 2008 低温试验后，应能正常工作。</w:t>
      </w:r>
    </w:p>
    <w:p w14:paraId="19824774">
      <w:pPr>
        <w:pStyle w:val="165"/>
        <w:bidi w:val="0"/>
        <w:rPr>
          <w:rFonts w:hint="eastAsia"/>
          <w:b/>
          <w:bCs/>
        </w:rPr>
      </w:pPr>
      <w:bookmarkStart w:id="71" w:name="_Toc71955479"/>
      <w:r>
        <w:rPr>
          <w:rFonts w:hint="eastAsia"/>
          <w:b/>
          <w:bCs/>
        </w:rPr>
        <w:t>高温</w:t>
      </w:r>
      <w:bookmarkEnd w:id="71"/>
    </w:p>
    <w:p w14:paraId="73B194EF">
      <w:pPr>
        <w:pStyle w:val="56"/>
        <w:ind w:firstLine="420"/>
      </w:pPr>
      <w:r>
        <w:rPr>
          <w:rFonts w:hint="eastAsia"/>
        </w:rPr>
        <w:t>卫星终端经受GB/T 2423.2 2008 的高温试验后，应能正常工作。</w:t>
      </w:r>
    </w:p>
    <w:p w14:paraId="7ECE3AC0">
      <w:pPr>
        <w:pStyle w:val="165"/>
        <w:bidi w:val="0"/>
        <w:rPr>
          <w:rFonts w:hint="eastAsia"/>
          <w:b/>
          <w:bCs/>
        </w:rPr>
      </w:pPr>
      <w:bookmarkStart w:id="72" w:name="_Toc71955480"/>
      <w:r>
        <w:rPr>
          <w:rFonts w:hint="eastAsia"/>
          <w:b/>
          <w:bCs/>
        </w:rPr>
        <w:t>湿度</w:t>
      </w:r>
      <w:bookmarkEnd w:id="72"/>
    </w:p>
    <w:p w14:paraId="3A5FCD30">
      <w:pPr>
        <w:pStyle w:val="56"/>
        <w:ind w:firstLine="420"/>
      </w:pPr>
      <w:r>
        <w:rPr>
          <w:rFonts w:hint="eastAsia"/>
        </w:rPr>
        <w:t>卫星终端经受GB/T2423.3 2006的试验后，应能正常工作。</w:t>
      </w:r>
    </w:p>
    <w:p w14:paraId="5B81A157">
      <w:pPr>
        <w:pStyle w:val="165"/>
        <w:bidi w:val="0"/>
        <w:rPr>
          <w:rFonts w:hint="eastAsia"/>
          <w:b/>
          <w:bCs/>
        </w:rPr>
      </w:pPr>
      <w:bookmarkStart w:id="73" w:name="_Toc71955481"/>
      <w:r>
        <w:rPr>
          <w:rFonts w:hint="eastAsia"/>
          <w:b/>
          <w:bCs/>
        </w:rPr>
        <w:t>冲击</w:t>
      </w:r>
      <w:bookmarkEnd w:id="73"/>
    </w:p>
    <w:p w14:paraId="73C8275A">
      <w:pPr>
        <w:pStyle w:val="56"/>
        <w:ind w:firstLine="420"/>
      </w:pPr>
      <w:r>
        <w:rPr>
          <w:rFonts w:hint="eastAsia"/>
        </w:rPr>
        <w:t>卫星终端经受GB/T2423.5 1995的试验后，应能正常工作。</w:t>
      </w:r>
    </w:p>
    <w:p w14:paraId="0118A970">
      <w:pPr>
        <w:pStyle w:val="165"/>
        <w:bidi w:val="0"/>
        <w:rPr>
          <w:rFonts w:hint="eastAsia"/>
          <w:b/>
          <w:bCs/>
        </w:rPr>
      </w:pPr>
      <w:bookmarkStart w:id="74" w:name="_Toc71955482"/>
      <w:r>
        <w:rPr>
          <w:rFonts w:hint="eastAsia"/>
          <w:b/>
          <w:bCs/>
        </w:rPr>
        <w:t>振动</w:t>
      </w:r>
      <w:bookmarkEnd w:id="74"/>
    </w:p>
    <w:p w14:paraId="3EA18F43">
      <w:pPr>
        <w:pStyle w:val="56"/>
        <w:ind w:firstLine="420"/>
      </w:pPr>
      <w:r>
        <w:rPr>
          <w:rFonts w:hint="eastAsia"/>
        </w:rPr>
        <w:t>卫星终端经受GB/T2423.10 2008的试验后，应能正常工作。</w:t>
      </w:r>
    </w:p>
    <w:p w14:paraId="4D6F8C97">
      <w:pPr>
        <w:pStyle w:val="165"/>
        <w:bidi w:val="0"/>
        <w:rPr>
          <w:rFonts w:hint="eastAsia"/>
          <w:b/>
          <w:bCs/>
        </w:rPr>
      </w:pPr>
      <w:bookmarkStart w:id="75" w:name="_Toc71955483"/>
      <w:r>
        <w:rPr>
          <w:rFonts w:hint="eastAsia"/>
          <w:b/>
          <w:bCs/>
        </w:rPr>
        <w:t>盐雾</w:t>
      </w:r>
      <w:bookmarkEnd w:id="75"/>
    </w:p>
    <w:p w14:paraId="2C627AA8">
      <w:pPr>
        <w:pStyle w:val="56"/>
        <w:ind w:firstLine="420"/>
      </w:pPr>
      <w:r>
        <w:rPr>
          <w:rFonts w:hint="eastAsia"/>
        </w:rPr>
        <w:t>卫星终端经受GB/T2423.17 2008的试验后，应能正常工作。</w:t>
      </w:r>
    </w:p>
    <w:p w14:paraId="44AB046E">
      <w:pPr>
        <w:pStyle w:val="165"/>
        <w:bidi w:val="0"/>
        <w:rPr>
          <w:rFonts w:hint="eastAsia"/>
          <w:b/>
          <w:bCs/>
        </w:rPr>
      </w:pPr>
      <w:bookmarkStart w:id="76" w:name="_Toc71955484"/>
      <w:r>
        <w:rPr>
          <w:rFonts w:hint="eastAsia"/>
          <w:b/>
          <w:bCs/>
        </w:rPr>
        <w:t>产品防护等级</w:t>
      </w:r>
      <w:bookmarkEnd w:id="76"/>
    </w:p>
    <w:p w14:paraId="14146C60">
      <w:pPr>
        <w:pStyle w:val="56"/>
        <w:ind w:firstLine="420"/>
      </w:pPr>
      <w:r>
        <w:rPr>
          <w:rFonts w:hint="eastAsia"/>
        </w:rPr>
        <w:t>卫星终端外壳应满足GB/T 4208规定的IP67等级。</w:t>
      </w:r>
    </w:p>
    <w:p w14:paraId="300A3BCB">
      <w:pPr>
        <w:pStyle w:val="105"/>
        <w:spacing w:before="120" w:after="120"/>
        <w:rPr>
          <w:rFonts w:hint="eastAsia"/>
          <w:lang w:val="en-US" w:eastAsia="zh-CN"/>
        </w:rPr>
      </w:pPr>
      <w:bookmarkStart w:id="77" w:name="_Toc24029592"/>
      <w:bookmarkStart w:id="78" w:name="_Toc71955849"/>
      <w:bookmarkStart w:id="79" w:name="_Toc71955486"/>
      <w:bookmarkStart w:id="80" w:name="_Toc24030541"/>
      <w:bookmarkStart w:id="81" w:name="_Toc20151405"/>
      <w:r>
        <w:rPr>
          <w:rFonts w:hint="eastAsia"/>
          <w:lang w:val="en-US" w:eastAsia="zh-CN"/>
        </w:rPr>
        <w:t>电磁</w:t>
      </w:r>
      <w:bookmarkEnd w:id="77"/>
      <w:bookmarkEnd w:id="78"/>
      <w:bookmarkEnd w:id="79"/>
      <w:bookmarkEnd w:id="80"/>
      <w:bookmarkEnd w:id="81"/>
      <w:r>
        <w:rPr>
          <w:rFonts w:hint="eastAsia"/>
          <w:lang w:val="en-US" w:eastAsia="zh-CN"/>
        </w:rPr>
        <w:t>兼容</w:t>
      </w:r>
    </w:p>
    <w:p w14:paraId="450EA077">
      <w:pPr>
        <w:pStyle w:val="165"/>
        <w:bidi w:val="0"/>
        <w:rPr>
          <w:rFonts w:hint="eastAsia"/>
          <w:b w:val="0"/>
          <w:bCs w:val="0"/>
        </w:rPr>
      </w:pPr>
      <w:r>
        <w:rPr>
          <w:rFonts w:hint="eastAsia"/>
          <w:b w:val="0"/>
          <w:bCs w:val="0"/>
        </w:rPr>
        <w:t>卫星终端的静电放电抗扰度应符合GB/T 17626.2的要求，应能承受接触放电7kV，空气放电14kV的试验等级。</w:t>
      </w:r>
    </w:p>
    <w:p w14:paraId="2A4C4EE5">
      <w:pPr>
        <w:pStyle w:val="165"/>
        <w:bidi w:val="0"/>
        <w:rPr>
          <w:rFonts w:hint="eastAsia"/>
          <w:b w:val="0"/>
          <w:bCs w:val="0"/>
        </w:rPr>
      </w:pPr>
      <w:r>
        <w:rPr>
          <w:rFonts w:hint="eastAsia"/>
          <w:b w:val="0"/>
          <w:bCs w:val="0"/>
        </w:rPr>
        <w:t>卫星终端的辐射抗扰度应符合GB/T 17626.3的要求，场强为幅度24V/m，频段20MHz-6000MHz的试验等级。</w:t>
      </w:r>
    </w:p>
    <w:p w14:paraId="7EEE2FE4">
      <w:pPr>
        <w:pStyle w:val="56"/>
        <w:ind w:left="0" w:leftChars="0" w:firstLine="0" w:firstLineChars="0"/>
        <w:rPr>
          <w:rFonts w:hint="eastAsia"/>
          <w:lang w:val="en-US" w:eastAsia="zh-CN"/>
        </w:rPr>
      </w:pPr>
    </w:p>
    <w:p w14:paraId="1F291E1A">
      <w:pPr>
        <w:pStyle w:val="104"/>
        <w:spacing w:before="240" w:after="240"/>
      </w:pPr>
      <w:bookmarkStart w:id="82" w:name="_Toc71955488"/>
      <w:bookmarkStart w:id="83" w:name="_Toc24030546"/>
      <w:bookmarkStart w:id="84" w:name="_Toc71955850"/>
      <w:r>
        <w:rPr>
          <w:rFonts w:hint="eastAsia"/>
        </w:rPr>
        <w:t>安全管理</w:t>
      </w:r>
      <w:bookmarkEnd w:id="82"/>
      <w:bookmarkEnd w:id="83"/>
      <w:bookmarkEnd w:id="84"/>
    </w:p>
    <w:p w14:paraId="07748CF0">
      <w:pPr>
        <w:pStyle w:val="105"/>
        <w:spacing w:before="120" w:after="120"/>
      </w:pPr>
      <w:bookmarkStart w:id="85" w:name="_Toc24030547"/>
      <w:bookmarkStart w:id="86" w:name="_Toc71955489"/>
      <w:bookmarkStart w:id="87" w:name="_Toc20151413"/>
      <w:bookmarkStart w:id="88" w:name="_Toc24029598"/>
      <w:r>
        <w:rPr>
          <w:rFonts w:hint="eastAsia"/>
        </w:rPr>
        <w:t>模块注册及认证</w:t>
      </w:r>
      <w:bookmarkEnd w:id="85"/>
      <w:bookmarkEnd w:id="86"/>
      <w:bookmarkEnd w:id="87"/>
      <w:bookmarkEnd w:id="88"/>
    </w:p>
    <w:p w14:paraId="1D4F7D3A">
      <w:pPr>
        <w:pStyle w:val="56"/>
        <w:ind w:firstLine="420"/>
      </w:pPr>
      <w:r>
        <w:rPr>
          <w:rFonts w:hint="eastAsia"/>
        </w:rPr>
        <w:t>卫星终端与卫星、服务中心进行卫星通信网络连接，需要实施单向或双向空中接口认证，并与服务中心进行单向或双向的服务接口认证。</w:t>
      </w:r>
    </w:p>
    <w:p w14:paraId="607E335F">
      <w:pPr>
        <w:pStyle w:val="105"/>
        <w:spacing w:before="120" w:after="120"/>
      </w:pPr>
      <w:bookmarkStart w:id="89" w:name="_Toc20151415"/>
      <w:bookmarkStart w:id="90" w:name="_Toc24030549"/>
      <w:bookmarkStart w:id="91" w:name="_Toc24029600"/>
      <w:bookmarkStart w:id="92" w:name="_Toc71955490"/>
      <w:r>
        <w:rPr>
          <w:rFonts w:hint="eastAsia"/>
        </w:rPr>
        <w:t>身份鉴别</w:t>
      </w:r>
      <w:bookmarkEnd w:id="89"/>
      <w:bookmarkEnd w:id="90"/>
      <w:bookmarkEnd w:id="91"/>
      <w:bookmarkEnd w:id="92"/>
    </w:p>
    <w:p w14:paraId="6485A4FE">
      <w:pPr>
        <w:pStyle w:val="56"/>
        <w:ind w:firstLine="420"/>
      </w:pPr>
      <w:r>
        <w:rPr>
          <w:rFonts w:hint="eastAsia"/>
        </w:rPr>
        <w:t>卫星终端进行访问卫星、服务中心时，具有身份鉴别码，卫星终端只有正确的输入身份鉴别码，才能进行卫星和服务中心的访问。</w:t>
      </w:r>
    </w:p>
    <w:p w14:paraId="76178A2C">
      <w:pPr>
        <w:pStyle w:val="105"/>
        <w:spacing w:before="120" w:after="120"/>
      </w:pPr>
      <w:bookmarkStart w:id="93" w:name="_Toc24030550"/>
      <w:bookmarkStart w:id="94" w:name="_Toc24029601"/>
      <w:bookmarkStart w:id="95" w:name="_Toc20151416"/>
      <w:bookmarkStart w:id="96" w:name="_Toc71955491"/>
      <w:r>
        <w:rPr>
          <w:rFonts w:hint="eastAsia"/>
        </w:rPr>
        <w:t>数据加密规程</w:t>
      </w:r>
      <w:bookmarkEnd w:id="93"/>
      <w:bookmarkEnd w:id="94"/>
      <w:bookmarkEnd w:id="95"/>
      <w:bookmarkEnd w:id="96"/>
    </w:p>
    <w:p w14:paraId="001CBB64">
      <w:pPr>
        <w:pStyle w:val="56"/>
        <w:ind w:firstLine="420"/>
      </w:pPr>
      <w:r>
        <w:rPr>
          <w:rFonts w:hint="eastAsia"/>
        </w:rPr>
        <w:t>卫星终端与卫星、服务中心联络时，需要对数据加密保护。</w:t>
      </w:r>
    </w:p>
    <w:p w14:paraId="4FD1EFF8">
      <w:pPr>
        <w:pStyle w:val="104"/>
        <w:spacing w:before="240" w:after="240"/>
      </w:pPr>
      <w:bookmarkStart w:id="97" w:name="_Toc71955851"/>
      <w:bookmarkStart w:id="98" w:name="_Toc26553"/>
      <w:bookmarkStart w:id="99" w:name="_Toc71906914"/>
      <w:bookmarkStart w:id="100" w:name="_Toc71955487"/>
      <w:r>
        <w:rPr>
          <w:rFonts w:hint="eastAsia"/>
        </w:rPr>
        <w:t>标识和标记</w:t>
      </w:r>
      <w:bookmarkEnd w:id="97"/>
      <w:bookmarkEnd w:id="98"/>
      <w:bookmarkEnd w:id="99"/>
      <w:bookmarkEnd w:id="100"/>
    </w:p>
    <w:p w14:paraId="44CEACD5">
      <w:pPr>
        <w:pStyle w:val="162"/>
      </w:pPr>
      <w:r>
        <w:rPr>
          <w:rFonts w:hint="eastAsia"/>
          <w:lang w:val="en-US" w:eastAsia="zh-CN"/>
        </w:rPr>
        <w:t>卫星</w:t>
      </w:r>
      <w:r>
        <w:rPr>
          <w:rFonts w:hint="eastAsia"/>
        </w:rPr>
        <w:t>终端应有唯一的出厂编码标识，并在终端设备侧面进行标记。</w:t>
      </w:r>
    </w:p>
    <w:p w14:paraId="4E4D5659">
      <w:pPr>
        <w:pStyle w:val="162"/>
      </w:pPr>
      <w:r>
        <w:rPr>
          <w:rFonts w:hint="eastAsia"/>
          <w:lang w:val="en-US" w:eastAsia="zh-CN"/>
        </w:rPr>
        <w:t>卫星</w:t>
      </w:r>
      <w:r>
        <w:rPr>
          <w:rFonts w:hint="eastAsia"/>
        </w:rPr>
        <w:t>终端编码应包含制造商代码、设备代码、型号代码、年份代码和序列号。</w:t>
      </w:r>
    </w:p>
    <w:p w14:paraId="794DB514">
      <w:pPr>
        <w:pStyle w:val="162"/>
        <w:numPr>
          <w:ilvl w:val="2"/>
          <w:numId w:val="0"/>
        </w:numPr>
        <w:ind w:leftChars="0"/>
      </w:pPr>
    </w:p>
    <w:p w14:paraId="74D3F75C">
      <w:pPr>
        <w:pStyle w:val="56"/>
        <w:ind w:firstLine="420"/>
        <w:rPr>
          <w:rFonts w:hint="eastAsia"/>
        </w:rPr>
      </w:pPr>
    </w:p>
    <w:bookmarkEnd w:id="26"/>
    <w:p w14:paraId="7752A96B">
      <w:pPr>
        <w:pStyle w:val="65"/>
        <w:spacing w:before="120" w:after="120"/>
        <w:sectPr>
          <w:pgSz w:w="11906" w:h="16838"/>
          <w:pgMar w:top="567" w:right="1134" w:bottom="1134" w:left="1134" w:header="1418" w:footer="1134" w:gutter="284"/>
          <w:pgNumType w:start="1"/>
          <w:cols w:space="425" w:num="1"/>
          <w:formProt w:val="0"/>
          <w:docGrid w:linePitch="312" w:charSpace="0"/>
        </w:sectPr>
      </w:pPr>
      <w:bookmarkStart w:id="101" w:name="BookMark6"/>
    </w:p>
    <w:p w14:paraId="21711E61">
      <w:pPr>
        <w:pStyle w:val="63"/>
        <w:spacing w:before="96" w:after="120"/>
      </w:pPr>
      <w:bookmarkStart w:id="102" w:name="_Toc71955492"/>
      <w:bookmarkStart w:id="103" w:name="_Toc71955852"/>
      <w:r>
        <w:rPr>
          <w:rFonts w:hint="eastAsia"/>
          <w:spacing w:val="105"/>
        </w:rPr>
        <w:t>参考文</w:t>
      </w:r>
      <w:r>
        <w:rPr>
          <w:rFonts w:hint="eastAsia"/>
        </w:rPr>
        <w:t>献</w:t>
      </w:r>
      <w:bookmarkEnd w:id="102"/>
      <w:bookmarkEnd w:id="103"/>
    </w:p>
    <w:p w14:paraId="0003E3BC">
      <w:pPr>
        <w:spacing w:before="120"/>
        <w:ind w:firstLine="420" w:firstLineChars="200"/>
        <w:rPr>
          <w:rFonts w:hAnsi="宋体"/>
          <w:szCs w:val="28"/>
        </w:rPr>
      </w:pPr>
      <w:r>
        <w:rPr>
          <w:rFonts w:hint="eastAsia" w:hAnsi="宋体"/>
          <w:szCs w:val="28"/>
        </w:rPr>
        <w:t xml:space="preserve">YDB 183-2017 卫星集装箱通信终端通用技术要求和测试方法 </w:t>
      </w:r>
    </w:p>
    <w:p w14:paraId="3044525A">
      <w:pPr>
        <w:spacing w:before="120"/>
        <w:ind w:firstLine="420" w:firstLineChars="200"/>
        <w:rPr>
          <w:rFonts w:hAnsi="宋体"/>
          <w:szCs w:val="28"/>
        </w:rPr>
      </w:pPr>
      <w:r>
        <w:rPr>
          <w:rFonts w:hint="eastAsia" w:hAnsi="宋体"/>
          <w:szCs w:val="28"/>
        </w:rPr>
        <w:t>YD/T 1312.13-2013 无线通信设备电磁兼容性要求和测量方法 第13部分：移动集装箱通信终端适配器</w:t>
      </w:r>
    </w:p>
    <w:p w14:paraId="22139954">
      <w:pPr>
        <w:spacing w:before="120"/>
        <w:ind w:firstLine="420" w:firstLineChars="200"/>
        <w:rPr>
          <w:rFonts w:hint="eastAsia"/>
        </w:rPr>
      </w:pPr>
      <w:r>
        <w:rPr>
          <w:rFonts w:hint="eastAsia" w:hAnsi="宋体"/>
          <w:szCs w:val="28"/>
        </w:rPr>
        <w:t xml:space="preserve">YD/T 3094-2016 智能化固定集装箱通信终端技术要求 </w:t>
      </w:r>
      <w:bookmarkEnd w:id="101"/>
    </w:p>
    <w:sectPr>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FAE1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F79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A302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0D44F">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4A94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DCAC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D90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A0854">
    <w:pPr>
      <w:pStyle w:val="61"/>
    </w:pPr>
    <w:r>
      <w:fldChar w:fldCharType="begin"/>
    </w:r>
    <w:r>
      <w:instrText xml:space="preserve"> STYLEREF  标准文件_文件编号  \* MERGEFORMAT </w:instrText>
    </w:r>
    <w:r>
      <w:fldChar w:fldCharType="separate"/>
    </w:r>
    <w:r>
      <w:t>T/CPHA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5D917">
    <w:pPr>
      <w:pStyle w:val="18"/>
      <w:jc w:val="right"/>
    </w:pPr>
    <w:r>
      <w:fldChar w:fldCharType="begin"/>
    </w:r>
    <w:r>
      <w:instrText xml:space="preserve"> STYLEREF  标准文件_文件编号  \* MERGEFORMAT </w:instrText>
    </w:r>
    <w:r>
      <w:fldChar w:fldCharType="separate"/>
    </w:r>
    <w:r>
      <w:t>T/CPHA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6AB9E"/>
    <w:multiLevelType w:val="singleLevel"/>
    <w:tmpl w:val="C376AB9E"/>
    <w:lvl w:ilvl="0" w:tentative="0">
      <w:start w:val="1"/>
      <w:numFmt w:val="lowerLetter"/>
      <w:suff w:val="nothing"/>
      <w:lvlText w:val="%1）"/>
      <w:lvlJc w:val="left"/>
    </w:lvl>
  </w:abstractNum>
  <w:abstractNum w:abstractNumId="1">
    <w:nsid w:val="E57BC998"/>
    <w:multiLevelType w:val="singleLevel"/>
    <w:tmpl w:val="E57BC998"/>
    <w:lvl w:ilvl="0" w:tentative="0">
      <w:start w:val="1"/>
      <w:numFmt w:val="lowerLetter"/>
      <w:suff w:val="nothing"/>
      <w:lvlText w:val="%1）"/>
      <w:lvlJc w:val="left"/>
    </w:lvl>
  </w:abstractNum>
  <w:abstractNum w:abstractNumId="2">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VLYfdkUAFQ+OT42mJJsqsSbZq9sJSWzlaB7ZGXc2WlKyUUkTmyZ02nZqShhQXnlEUUrbLPN7Alzf+hHAsLFZow==" w:salt="reH3/Gx6qjwaeZfzvlQbq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0NDg0ZGZlOWNlYTJhNzgzMzJlOWMyY2M1NGU2ZjYifQ=="/>
  </w:docVars>
  <w:rsids>
    <w:rsidRoot w:val="000203DD"/>
    <w:rsid w:val="0000040A"/>
    <w:rsid w:val="00000A94"/>
    <w:rsid w:val="00001972"/>
    <w:rsid w:val="00001D9A"/>
    <w:rsid w:val="00007B3A"/>
    <w:rsid w:val="000107E0"/>
    <w:rsid w:val="00011FDE"/>
    <w:rsid w:val="00012FFD"/>
    <w:rsid w:val="00014162"/>
    <w:rsid w:val="00014340"/>
    <w:rsid w:val="00016A9C"/>
    <w:rsid w:val="000203DD"/>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09F"/>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FD9"/>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33B"/>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3F7"/>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08A"/>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6055C9"/>
    <w:rsid w:val="1FE91D68"/>
    <w:rsid w:val="27B53233"/>
    <w:rsid w:val="384E7882"/>
    <w:rsid w:val="73DB3A20"/>
    <w:rsid w:val="750113D9"/>
    <w:rsid w:val="7FA11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标题 3 字符1"/>
    <w:basedOn w:val="28"/>
    <w:qFormat/>
    <w:uiPriority w:val="9"/>
    <w:rPr>
      <w:rFonts w:ascii="宋体" w:eastAsia="宋体"/>
      <w:bCs/>
      <w:sz w:val="28"/>
      <w:szCs w:val="32"/>
    </w:rPr>
  </w:style>
  <w:style w:type="character" w:customStyle="1" w:styleId="231">
    <w:name w:val="段 Char"/>
    <w:link w:val="232"/>
    <w:qFormat/>
    <w:locked/>
    <w:uiPriority w:val="0"/>
    <w:rPr>
      <w:rFonts w:ascii="宋体" w:hAnsi="宋体"/>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customStyle="1" w:styleId="233">
    <w:name w:val="一级条标题"/>
    <w:next w:val="232"/>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232"/>
    <w:qFormat/>
    <w:uiPriority w:val="0"/>
    <w:pPr>
      <w:spacing w:before="312" w:beforeLines="100" w:after="312" w:afterLines="100"/>
      <w:ind w:left="567"/>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2FE2F45997E49BC9D83D5B2D840D300"/>
        <w:style w:val=""/>
        <w:category>
          <w:name w:val="常规"/>
          <w:gallery w:val="placeholder"/>
        </w:category>
        <w:types>
          <w:type w:val="bbPlcHdr"/>
        </w:types>
        <w:behaviors>
          <w:behavior w:val="content"/>
        </w:behaviors>
        <w:description w:val=""/>
        <w:guid w:val="{4B5F143A-CA7C-47B7-89AC-1205F2613645}"/>
      </w:docPartPr>
      <w:docPartBody>
        <w:p w14:paraId="5EDD3D99">
          <w:pPr>
            <w:pStyle w:val="5"/>
          </w:pPr>
          <w:r>
            <w:rPr>
              <w:rStyle w:val="4"/>
              <w:rFonts w:hint="eastAsia"/>
            </w:rPr>
            <w:t>单击或点击此处输入文字。</w:t>
          </w:r>
        </w:p>
      </w:docPartBody>
    </w:docPart>
    <w:docPart>
      <w:docPartPr>
        <w:name w:val="B9767229F6C84E1685B21100110C3ED5"/>
        <w:style w:val=""/>
        <w:category>
          <w:name w:val="常规"/>
          <w:gallery w:val="placeholder"/>
        </w:category>
        <w:types>
          <w:type w:val="bbPlcHdr"/>
        </w:types>
        <w:behaviors>
          <w:behavior w:val="content"/>
        </w:behaviors>
        <w:description w:val=""/>
        <w:guid w:val="{E12826DF-AE45-4901-82A8-5DF3BE1457B8}"/>
      </w:docPartPr>
      <w:docPartBody>
        <w:p w14:paraId="1CB04212">
          <w:pPr>
            <w:pStyle w:val="6"/>
          </w:pPr>
          <w:r>
            <w:rPr>
              <w:rStyle w:val="4"/>
              <w:rFonts w:hint="eastAsia"/>
            </w:rPr>
            <w:t>选择一项。</w:t>
          </w:r>
        </w:p>
      </w:docPartBody>
    </w:docPart>
    <w:docPart>
      <w:docPartPr>
        <w:name w:val="6F2E817003B64D7A9724C8F932D8699E"/>
        <w:style w:val=""/>
        <w:category>
          <w:name w:val="常规"/>
          <w:gallery w:val="placeholder"/>
        </w:category>
        <w:types>
          <w:type w:val="bbPlcHdr"/>
        </w:types>
        <w:behaviors>
          <w:behavior w:val="content"/>
        </w:behaviors>
        <w:description w:val=""/>
        <w:guid w:val="{3C7F6C0F-E768-4068-89D1-B1A755ED936F}"/>
      </w:docPartPr>
      <w:docPartBody>
        <w:p w14:paraId="61E894A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667"/>
    <w:rsid w:val="00314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2FE2F45997E49BC9D83D5B2D840D3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9767229F6C84E1685B21100110C3ED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F2E817003B64D7A9724C8F932D8699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1AC35-3B5F-45F4-8B43-D2796CED2622}">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2938</Words>
  <Characters>3898</Characters>
  <Lines>379</Lines>
  <Paragraphs>341</Paragraphs>
  <TotalTime>8</TotalTime>
  <ScaleCrop>false</ScaleCrop>
  <LinksUpToDate>false</LinksUpToDate>
  <CharactersWithSpaces>4118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2021-05-14T22:46:00Z</dcterms:created>
  <dc:creator>JICHUN LI</dc:creator>
  <dc:description>&lt;config cover="true" show_menu="true" version="1.0.0" doctype="SDKXY"&gt;_x000d_
&lt;/config&gt;</dc:description>
  <cp:lastModifiedBy>小兵张嘎李继春</cp:lastModifiedBy>
  <cp:lastPrinted>2021-05-14T23:30:00Z</cp:lastPrinted>
  <dcterms:modified xsi:type="dcterms:W3CDTF">2024-08-12T00:24:04Z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194A2267CAA84E39A9E9B7967595A9D1_13</vt:lpwstr>
  </property>
</Properties>
</file>